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2B81D" w14:textId="3E0FECC5" w:rsidR="00143950" w:rsidRDefault="00597CFE" w:rsidP="00143950">
      <w:pPr>
        <w:jc w:val="center"/>
        <w:rPr>
          <w:sz w:val="56"/>
          <w:szCs w:val="56"/>
        </w:rPr>
      </w:pPr>
      <w:r>
        <w:rPr>
          <w:noProof/>
        </w:rPr>
        <w:drawing>
          <wp:inline distT="0" distB="0" distL="0" distR="0" wp14:anchorId="03FB1B7C" wp14:editId="469BE368">
            <wp:extent cx="2289304"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93935" cy="1170764"/>
                    </a:xfrm>
                    <a:prstGeom prst="rect">
                      <a:avLst/>
                    </a:prstGeom>
                  </pic:spPr>
                </pic:pic>
              </a:graphicData>
            </a:graphic>
          </wp:inline>
        </w:drawing>
      </w:r>
    </w:p>
    <w:p w14:paraId="7223874F" w14:textId="77777777" w:rsidR="003858C1" w:rsidRDefault="003858C1" w:rsidP="00143950">
      <w:pPr>
        <w:jc w:val="center"/>
        <w:rPr>
          <w:sz w:val="56"/>
          <w:szCs w:val="56"/>
        </w:rPr>
      </w:pPr>
    </w:p>
    <w:p w14:paraId="30B1363D" w14:textId="77777777" w:rsidR="00C22938" w:rsidRDefault="00FF6CD8" w:rsidP="00143950">
      <w:pPr>
        <w:jc w:val="center"/>
        <w:rPr>
          <w:sz w:val="56"/>
          <w:szCs w:val="56"/>
        </w:rPr>
      </w:pPr>
      <w:r w:rsidRPr="00143950">
        <w:rPr>
          <w:sz w:val="56"/>
          <w:szCs w:val="56"/>
        </w:rPr>
        <w:t xml:space="preserve">ICRM </w:t>
      </w:r>
    </w:p>
    <w:p w14:paraId="2DF069E0" w14:textId="4B059851" w:rsidR="00143950" w:rsidRDefault="00FF6CD8" w:rsidP="00143950">
      <w:pPr>
        <w:jc w:val="center"/>
        <w:rPr>
          <w:sz w:val="56"/>
          <w:szCs w:val="56"/>
        </w:rPr>
      </w:pPr>
      <w:r w:rsidRPr="00143950">
        <w:rPr>
          <w:sz w:val="56"/>
          <w:szCs w:val="56"/>
        </w:rPr>
        <w:t>Financial Management</w:t>
      </w:r>
    </w:p>
    <w:p w14:paraId="3D3DEA79" w14:textId="7B1A85F2" w:rsidR="004E1936" w:rsidRPr="00143950" w:rsidRDefault="00FF6CD8" w:rsidP="00143950">
      <w:pPr>
        <w:jc w:val="center"/>
        <w:rPr>
          <w:sz w:val="56"/>
          <w:szCs w:val="56"/>
        </w:rPr>
      </w:pPr>
      <w:r w:rsidRPr="00143950">
        <w:rPr>
          <w:sz w:val="56"/>
          <w:szCs w:val="56"/>
        </w:rPr>
        <w:t>Policy</w:t>
      </w:r>
    </w:p>
    <w:p w14:paraId="03F71566" w14:textId="38FC9224" w:rsidR="00FF6CD8" w:rsidRDefault="00FF6CD8"/>
    <w:p w14:paraId="2FB0CFFA" w14:textId="77777777" w:rsidR="00143950" w:rsidRDefault="00143950"/>
    <w:p w14:paraId="2E9B8BB7" w14:textId="77777777" w:rsidR="00143950" w:rsidRDefault="00143950"/>
    <w:p w14:paraId="12EC8E59" w14:textId="77777777" w:rsidR="00143950" w:rsidRDefault="00143950"/>
    <w:p w14:paraId="444C1114" w14:textId="77777777" w:rsidR="00143950" w:rsidRDefault="00143950"/>
    <w:p w14:paraId="3B224F8E" w14:textId="2E52C956" w:rsidR="00FF6CD8" w:rsidRDefault="00FF6CD8"/>
    <w:p w14:paraId="5D7778A5" w14:textId="77777777" w:rsidR="00143950" w:rsidRDefault="00143950"/>
    <w:p w14:paraId="58C6D943" w14:textId="77777777" w:rsidR="00143950" w:rsidRDefault="00143950"/>
    <w:p w14:paraId="43D97C98" w14:textId="77777777" w:rsidR="00143950" w:rsidRDefault="00143950"/>
    <w:p w14:paraId="1B0CABEF" w14:textId="77777777" w:rsidR="00143950" w:rsidRDefault="00143950"/>
    <w:p w14:paraId="5E55F20E" w14:textId="1E859BC1" w:rsidR="00143950" w:rsidRDefault="00143950"/>
    <w:p w14:paraId="3A368734" w14:textId="760D8CF4" w:rsidR="00143950" w:rsidRDefault="00143950"/>
    <w:p w14:paraId="3902BE69" w14:textId="49666C9F" w:rsidR="00FF6CD8" w:rsidRDefault="00FF6CD8">
      <w:r>
        <w:t xml:space="preserve">Last updated:  </w:t>
      </w:r>
      <w:r w:rsidR="6D6A17CF">
        <w:t>October 1</w:t>
      </w:r>
      <w:r>
        <w:t>, 2021</w:t>
      </w:r>
    </w:p>
    <w:p w14:paraId="441CE882" w14:textId="77777777" w:rsidR="00FF6CD8" w:rsidRDefault="00FF6CD8">
      <w:pPr>
        <w:sectPr w:rsidR="00FF6CD8">
          <w:headerReference w:type="default" r:id="rId13"/>
          <w:footerReference w:type="default" r:id="rId14"/>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314303224"/>
        <w:docPartObj>
          <w:docPartGallery w:val="Table of Contents"/>
          <w:docPartUnique/>
        </w:docPartObj>
      </w:sdtPr>
      <w:sdtEndPr>
        <w:rPr>
          <w:b/>
          <w:bCs/>
          <w:noProof/>
        </w:rPr>
      </w:sdtEndPr>
      <w:sdtContent>
        <w:p w14:paraId="0DB9D4C6" w14:textId="20A8A965" w:rsidR="00FF6CD8" w:rsidRDefault="00FF6CD8">
          <w:pPr>
            <w:pStyle w:val="TOCHeading"/>
          </w:pPr>
          <w:r>
            <w:t>Table of Contents</w:t>
          </w:r>
        </w:p>
        <w:p w14:paraId="4AD7C0B2" w14:textId="1A5C1C9D" w:rsidR="00C61F66" w:rsidRDefault="00FF6CD8">
          <w:pPr>
            <w:pStyle w:val="TOC1"/>
            <w:tabs>
              <w:tab w:val="right" w:leader="dot" w:pos="9350"/>
            </w:tabs>
            <w:rPr>
              <w:rFonts w:eastAsiaTheme="minorEastAsia"/>
              <w:noProof/>
              <w:lang w:eastAsia="ja-JP"/>
            </w:rPr>
          </w:pPr>
          <w:r>
            <w:fldChar w:fldCharType="begin"/>
          </w:r>
          <w:r>
            <w:instrText xml:space="preserve"> TOC \o "1-3" \h \z \u </w:instrText>
          </w:r>
          <w:r>
            <w:fldChar w:fldCharType="separate"/>
          </w:r>
          <w:hyperlink w:anchor="_Toc83981448" w:history="1">
            <w:r w:rsidR="00C61F66" w:rsidRPr="000E0E6D">
              <w:rPr>
                <w:rStyle w:val="Hyperlink"/>
                <w:noProof/>
              </w:rPr>
              <w:t>ICRM Financial Management Policy</w:t>
            </w:r>
            <w:r w:rsidR="00C61F66">
              <w:rPr>
                <w:noProof/>
                <w:webHidden/>
              </w:rPr>
              <w:tab/>
            </w:r>
            <w:r w:rsidR="00C61F66">
              <w:rPr>
                <w:noProof/>
                <w:webHidden/>
              </w:rPr>
              <w:fldChar w:fldCharType="begin"/>
            </w:r>
            <w:r w:rsidR="00C61F66">
              <w:rPr>
                <w:noProof/>
                <w:webHidden/>
              </w:rPr>
              <w:instrText xml:space="preserve"> PAGEREF _Toc83981448 \h </w:instrText>
            </w:r>
            <w:r w:rsidR="00C61F66">
              <w:rPr>
                <w:noProof/>
                <w:webHidden/>
              </w:rPr>
            </w:r>
            <w:r w:rsidR="00C61F66">
              <w:rPr>
                <w:noProof/>
                <w:webHidden/>
              </w:rPr>
              <w:fldChar w:fldCharType="separate"/>
            </w:r>
            <w:r w:rsidR="00C61F66">
              <w:rPr>
                <w:noProof/>
                <w:webHidden/>
              </w:rPr>
              <w:t>1</w:t>
            </w:r>
            <w:r w:rsidR="00C61F66">
              <w:rPr>
                <w:noProof/>
                <w:webHidden/>
              </w:rPr>
              <w:fldChar w:fldCharType="end"/>
            </w:r>
          </w:hyperlink>
        </w:p>
        <w:p w14:paraId="5208489A" w14:textId="2BF8FA78" w:rsidR="00C61F66" w:rsidRDefault="008A41F7">
          <w:pPr>
            <w:pStyle w:val="TOC2"/>
            <w:tabs>
              <w:tab w:val="right" w:leader="dot" w:pos="9350"/>
            </w:tabs>
            <w:rPr>
              <w:rFonts w:eastAsiaTheme="minorEastAsia"/>
              <w:noProof/>
              <w:lang w:eastAsia="ja-JP"/>
            </w:rPr>
          </w:pPr>
          <w:hyperlink w:anchor="_Toc83981449" w:history="1">
            <w:r w:rsidR="00C61F66" w:rsidRPr="000E0E6D">
              <w:rPr>
                <w:rStyle w:val="Hyperlink"/>
                <w:noProof/>
              </w:rPr>
              <w:t>General Purpose</w:t>
            </w:r>
            <w:r w:rsidR="00C61F66">
              <w:rPr>
                <w:noProof/>
                <w:webHidden/>
              </w:rPr>
              <w:tab/>
            </w:r>
            <w:r w:rsidR="00C61F66">
              <w:rPr>
                <w:noProof/>
                <w:webHidden/>
              </w:rPr>
              <w:fldChar w:fldCharType="begin"/>
            </w:r>
            <w:r w:rsidR="00C61F66">
              <w:rPr>
                <w:noProof/>
                <w:webHidden/>
              </w:rPr>
              <w:instrText xml:space="preserve"> PAGEREF _Toc83981449 \h </w:instrText>
            </w:r>
            <w:r w:rsidR="00C61F66">
              <w:rPr>
                <w:noProof/>
                <w:webHidden/>
              </w:rPr>
            </w:r>
            <w:r w:rsidR="00C61F66">
              <w:rPr>
                <w:noProof/>
                <w:webHidden/>
              </w:rPr>
              <w:fldChar w:fldCharType="separate"/>
            </w:r>
            <w:r w:rsidR="00C61F66">
              <w:rPr>
                <w:noProof/>
                <w:webHidden/>
              </w:rPr>
              <w:t>1</w:t>
            </w:r>
            <w:r w:rsidR="00C61F66">
              <w:rPr>
                <w:noProof/>
                <w:webHidden/>
              </w:rPr>
              <w:fldChar w:fldCharType="end"/>
            </w:r>
          </w:hyperlink>
        </w:p>
        <w:p w14:paraId="22D610EB" w14:textId="3EDB6689" w:rsidR="00C61F66" w:rsidRDefault="008A41F7">
          <w:pPr>
            <w:pStyle w:val="TOC2"/>
            <w:tabs>
              <w:tab w:val="right" w:leader="dot" w:pos="9350"/>
            </w:tabs>
            <w:rPr>
              <w:rFonts w:eastAsiaTheme="minorEastAsia"/>
              <w:noProof/>
              <w:lang w:eastAsia="ja-JP"/>
            </w:rPr>
          </w:pPr>
          <w:hyperlink w:anchor="_Toc83981450" w:history="1">
            <w:r w:rsidR="00C61F66" w:rsidRPr="000E0E6D">
              <w:rPr>
                <w:rStyle w:val="Hyperlink"/>
                <w:noProof/>
              </w:rPr>
              <w:t>Financial Responsibilities</w:t>
            </w:r>
            <w:r w:rsidR="00C61F66">
              <w:rPr>
                <w:noProof/>
                <w:webHidden/>
              </w:rPr>
              <w:tab/>
            </w:r>
            <w:r w:rsidR="00C61F66">
              <w:rPr>
                <w:noProof/>
                <w:webHidden/>
              </w:rPr>
              <w:fldChar w:fldCharType="begin"/>
            </w:r>
            <w:r w:rsidR="00C61F66">
              <w:rPr>
                <w:noProof/>
                <w:webHidden/>
              </w:rPr>
              <w:instrText xml:space="preserve"> PAGEREF _Toc83981450 \h </w:instrText>
            </w:r>
            <w:r w:rsidR="00C61F66">
              <w:rPr>
                <w:noProof/>
                <w:webHidden/>
              </w:rPr>
            </w:r>
            <w:r w:rsidR="00C61F66">
              <w:rPr>
                <w:noProof/>
                <w:webHidden/>
              </w:rPr>
              <w:fldChar w:fldCharType="separate"/>
            </w:r>
            <w:r w:rsidR="00C61F66">
              <w:rPr>
                <w:noProof/>
                <w:webHidden/>
              </w:rPr>
              <w:t>1</w:t>
            </w:r>
            <w:r w:rsidR="00C61F66">
              <w:rPr>
                <w:noProof/>
                <w:webHidden/>
              </w:rPr>
              <w:fldChar w:fldCharType="end"/>
            </w:r>
          </w:hyperlink>
        </w:p>
        <w:p w14:paraId="0953BA1A" w14:textId="32B56F4A" w:rsidR="00C61F66" w:rsidRDefault="008A41F7">
          <w:pPr>
            <w:pStyle w:val="TOC2"/>
            <w:tabs>
              <w:tab w:val="right" w:leader="dot" w:pos="9350"/>
            </w:tabs>
            <w:rPr>
              <w:rFonts w:eastAsiaTheme="minorEastAsia"/>
              <w:noProof/>
              <w:lang w:eastAsia="ja-JP"/>
            </w:rPr>
          </w:pPr>
          <w:hyperlink w:anchor="_Toc83981451" w:history="1">
            <w:r w:rsidR="00C61F66" w:rsidRPr="000E0E6D">
              <w:rPr>
                <w:rStyle w:val="Hyperlink"/>
                <w:noProof/>
              </w:rPr>
              <w:t>Finance Advisory Committee</w:t>
            </w:r>
            <w:r w:rsidR="00C61F66">
              <w:rPr>
                <w:noProof/>
                <w:webHidden/>
              </w:rPr>
              <w:tab/>
            </w:r>
            <w:r w:rsidR="00C61F66">
              <w:rPr>
                <w:noProof/>
                <w:webHidden/>
              </w:rPr>
              <w:fldChar w:fldCharType="begin"/>
            </w:r>
            <w:r w:rsidR="00C61F66">
              <w:rPr>
                <w:noProof/>
                <w:webHidden/>
              </w:rPr>
              <w:instrText xml:space="preserve"> PAGEREF _Toc83981451 \h </w:instrText>
            </w:r>
            <w:r w:rsidR="00C61F66">
              <w:rPr>
                <w:noProof/>
                <w:webHidden/>
              </w:rPr>
            </w:r>
            <w:r w:rsidR="00C61F66">
              <w:rPr>
                <w:noProof/>
                <w:webHidden/>
              </w:rPr>
              <w:fldChar w:fldCharType="separate"/>
            </w:r>
            <w:r w:rsidR="00C61F66">
              <w:rPr>
                <w:noProof/>
                <w:webHidden/>
              </w:rPr>
              <w:t>1</w:t>
            </w:r>
            <w:r w:rsidR="00C61F66">
              <w:rPr>
                <w:noProof/>
                <w:webHidden/>
              </w:rPr>
              <w:fldChar w:fldCharType="end"/>
            </w:r>
          </w:hyperlink>
        </w:p>
        <w:p w14:paraId="6C1729CB" w14:textId="5A9BE235" w:rsidR="00C61F66" w:rsidRDefault="008A41F7">
          <w:pPr>
            <w:pStyle w:val="TOC2"/>
            <w:tabs>
              <w:tab w:val="right" w:leader="dot" w:pos="9350"/>
            </w:tabs>
            <w:rPr>
              <w:rFonts w:eastAsiaTheme="minorEastAsia"/>
              <w:noProof/>
              <w:lang w:eastAsia="ja-JP"/>
            </w:rPr>
          </w:pPr>
          <w:hyperlink w:anchor="_Toc83981452" w:history="1">
            <w:r w:rsidR="00C61F66" w:rsidRPr="000E0E6D">
              <w:rPr>
                <w:rStyle w:val="Hyperlink"/>
                <w:noProof/>
              </w:rPr>
              <w:t>Accounting Methods and Standards</w:t>
            </w:r>
            <w:r w:rsidR="00C61F66">
              <w:rPr>
                <w:noProof/>
                <w:webHidden/>
              </w:rPr>
              <w:tab/>
            </w:r>
            <w:r w:rsidR="00C61F66">
              <w:rPr>
                <w:noProof/>
                <w:webHidden/>
              </w:rPr>
              <w:fldChar w:fldCharType="begin"/>
            </w:r>
            <w:r w:rsidR="00C61F66">
              <w:rPr>
                <w:noProof/>
                <w:webHidden/>
              </w:rPr>
              <w:instrText xml:space="preserve"> PAGEREF _Toc83981452 \h </w:instrText>
            </w:r>
            <w:r w:rsidR="00C61F66">
              <w:rPr>
                <w:noProof/>
                <w:webHidden/>
              </w:rPr>
            </w:r>
            <w:r w:rsidR="00C61F66">
              <w:rPr>
                <w:noProof/>
                <w:webHidden/>
              </w:rPr>
              <w:fldChar w:fldCharType="separate"/>
            </w:r>
            <w:r w:rsidR="00C61F66">
              <w:rPr>
                <w:noProof/>
                <w:webHidden/>
              </w:rPr>
              <w:t>2</w:t>
            </w:r>
            <w:r w:rsidR="00C61F66">
              <w:rPr>
                <w:noProof/>
                <w:webHidden/>
              </w:rPr>
              <w:fldChar w:fldCharType="end"/>
            </w:r>
          </w:hyperlink>
        </w:p>
        <w:p w14:paraId="4FAB5358" w14:textId="693068B3" w:rsidR="00C61F66" w:rsidRDefault="008A41F7">
          <w:pPr>
            <w:pStyle w:val="TOC2"/>
            <w:tabs>
              <w:tab w:val="right" w:leader="dot" w:pos="9350"/>
            </w:tabs>
            <w:rPr>
              <w:rFonts w:eastAsiaTheme="minorEastAsia"/>
              <w:noProof/>
              <w:lang w:eastAsia="ja-JP"/>
            </w:rPr>
          </w:pPr>
          <w:hyperlink w:anchor="_Toc83981453" w:history="1">
            <w:r w:rsidR="00C61F66" w:rsidRPr="000E0E6D">
              <w:rPr>
                <w:rStyle w:val="Hyperlink"/>
                <w:noProof/>
              </w:rPr>
              <w:t>Investments</w:t>
            </w:r>
            <w:r w:rsidR="00C61F66">
              <w:rPr>
                <w:noProof/>
                <w:webHidden/>
              </w:rPr>
              <w:tab/>
            </w:r>
            <w:r w:rsidR="00C61F66">
              <w:rPr>
                <w:noProof/>
                <w:webHidden/>
              </w:rPr>
              <w:fldChar w:fldCharType="begin"/>
            </w:r>
            <w:r w:rsidR="00C61F66">
              <w:rPr>
                <w:noProof/>
                <w:webHidden/>
              </w:rPr>
              <w:instrText xml:space="preserve"> PAGEREF _Toc83981453 \h </w:instrText>
            </w:r>
            <w:r w:rsidR="00C61F66">
              <w:rPr>
                <w:noProof/>
                <w:webHidden/>
              </w:rPr>
            </w:r>
            <w:r w:rsidR="00C61F66">
              <w:rPr>
                <w:noProof/>
                <w:webHidden/>
              </w:rPr>
              <w:fldChar w:fldCharType="separate"/>
            </w:r>
            <w:r w:rsidR="00C61F66">
              <w:rPr>
                <w:noProof/>
                <w:webHidden/>
              </w:rPr>
              <w:t>2</w:t>
            </w:r>
            <w:r w:rsidR="00C61F66">
              <w:rPr>
                <w:noProof/>
                <w:webHidden/>
              </w:rPr>
              <w:fldChar w:fldCharType="end"/>
            </w:r>
          </w:hyperlink>
        </w:p>
        <w:p w14:paraId="7AA947E2" w14:textId="4131D327" w:rsidR="00C61F66" w:rsidRDefault="008A41F7">
          <w:pPr>
            <w:pStyle w:val="TOC2"/>
            <w:tabs>
              <w:tab w:val="right" w:leader="dot" w:pos="9350"/>
            </w:tabs>
            <w:rPr>
              <w:rFonts w:eastAsiaTheme="minorEastAsia"/>
              <w:noProof/>
              <w:lang w:eastAsia="ja-JP"/>
            </w:rPr>
          </w:pPr>
          <w:hyperlink w:anchor="_Toc83981454" w:history="1">
            <w:r w:rsidR="00C61F66" w:rsidRPr="000E0E6D">
              <w:rPr>
                <w:rStyle w:val="Hyperlink"/>
                <w:noProof/>
              </w:rPr>
              <w:t>Budget Administration</w:t>
            </w:r>
            <w:r w:rsidR="00C61F66">
              <w:rPr>
                <w:noProof/>
                <w:webHidden/>
              </w:rPr>
              <w:tab/>
            </w:r>
            <w:r w:rsidR="00C61F66">
              <w:rPr>
                <w:noProof/>
                <w:webHidden/>
              </w:rPr>
              <w:fldChar w:fldCharType="begin"/>
            </w:r>
            <w:r w:rsidR="00C61F66">
              <w:rPr>
                <w:noProof/>
                <w:webHidden/>
              </w:rPr>
              <w:instrText xml:space="preserve"> PAGEREF _Toc83981454 \h </w:instrText>
            </w:r>
            <w:r w:rsidR="00C61F66">
              <w:rPr>
                <w:noProof/>
                <w:webHidden/>
              </w:rPr>
            </w:r>
            <w:r w:rsidR="00C61F66">
              <w:rPr>
                <w:noProof/>
                <w:webHidden/>
              </w:rPr>
              <w:fldChar w:fldCharType="separate"/>
            </w:r>
            <w:r w:rsidR="00C61F66">
              <w:rPr>
                <w:noProof/>
                <w:webHidden/>
              </w:rPr>
              <w:t>2</w:t>
            </w:r>
            <w:r w:rsidR="00C61F66">
              <w:rPr>
                <w:noProof/>
                <w:webHidden/>
              </w:rPr>
              <w:fldChar w:fldCharType="end"/>
            </w:r>
          </w:hyperlink>
        </w:p>
        <w:p w14:paraId="4B379F0A" w14:textId="5DD2818A" w:rsidR="00C61F66" w:rsidRDefault="008A41F7">
          <w:pPr>
            <w:pStyle w:val="TOC2"/>
            <w:tabs>
              <w:tab w:val="right" w:leader="dot" w:pos="9350"/>
            </w:tabs>
            <w:rPr>
              <w:rFonts w:eastAsiaTheme="minorEastAsia"/>
              <w:noProof/>
              <w:lang w:eastAsia="ja-JP"/>
            </w:rPr>
          </w:pPr>
          <w:hyperlink w:anchor="_Toc83981455" w:history="1">
            <w:r w:rsidR="00C61F66" w:rsidRPr="000E0E6D">
              <w:rPr>
                <w:rStyle w:val="Hyperlink"/>
                <w:noProof/>
              </w:rPr>
              <w:t>Revenue Recognition</w:t>
            </w:r>
            <w:r w:rsidR="00C61F66">
              <w:rPr>
                <w:noProof/>
                <w:webHidden/>
              </w:rPr>
              <w:tab/>
            </w:r>
            <w:r w:rsidR="00C61F66">
              <w:rPr>
                <w:noProof/>
                <w:webHidden/>
              </w:rPr>
              <w:fldChar w:fldCharType="begin"/>
            </w:r>
            <w:r w:rsidR="00C61F66">
              <w:rPr>
                <w:noProof/>
                <w:webHidden/>
              </w:rPr>
              <w:instrText xml:space="preserve"> PAGEREF _Toc83981455 \h </w:instrText>
            </w:r>
            <w:r w:rsidR="00C61F66">
              <w:rPr>
                <w:noProof/>
                <w:webHidden/>
              </w:rPr>
            </w:r>
            <w:r w:rsidR="00C61F66">
              <w:rPr>
                <w:noProof/>
                <w:webHidden/>
              </w:rPr>
              <w:fldChar w:fldCharType="separate"/>
            </w:r>
            <w:r w:rsidR="00C61F66">
              <w:rPr>
                <w:noProof/>
                <w:webHidden/>
              </w:rPr>
              <w:t>2</w:t>
            </w:r>
            <w:r w:rsidR="00C61F66">
              <w:rPr>
                <w:noProof/>
                <w:webHidden/>
              </w:rPr>
              <w:fldChar w:fldCharType="end"/>
            </w:r>
          </w:hyperlink>
        </w:p>
        <w:p w14:paraId="2FDD18E0" w14:textId="0FD768C2" w:rsidR="00C61F66" w:rsidRDefault="008A41F7">
          <w:pPr>
            <w:pStyle w:val="TOC2"/>
            <w:tabs>
              <w:tab w:val="right" w:leader="dot" w:pos="9350"/>
            </w:tabs>
            <w:rPr>
              <w:rFonts w:eastAsiaTheme="minorEastAsia"/>
              <w:noProof/>
              <w:lang w:eastAsia="ja-JP"/>
            </w:rPr>
          </w:pPr>
          <w:hyperlink w:anchor="_Toc83981456" w:history="1">
            <w:r w:rsidR="00C61F66" w:rsidRPr="000E0E6D">
              <w:rPr>
                <w:rStyle w:val="Hyperlink"/>
                <w:noProof/>
              </w:rPr>
              <w:t>Expense Recognition</w:t>
            </w:r>
            <w:r w:rsidR="00C61F66">
              <w:rPr>
                <w:noProof/>
                <w:webHidden/>
              </w:rPr>
              <w:tab/>
            </w:r>
            <w:r w:rsidR="00C61F66">
              <w:rPr>
                <w:noProof/>
                <w:webHidden/>
              </w:rPr>
              <w:fldChar w:fldCharType="begin"/>
            </w:r>
            <w:r w:rsidR="00C61F66">
              <w:rPr>
                <w:noProof/>
                <w:webHidden/>
              </w:rPr>
              <w:instrText xml:space="preserve"> PAGEREF _Toc83981456 \h </w:instrText>
            </w:r>
            <w:r w:rsidR="00C61F66">
              <w:rPr>
                <w:noProof/>
                <w:webHidden/>
              </w:rPr>
            </w:r>
            <w:r w:rsidR="00C61F66">
              <w:rPr>
                <w:noProof/>
                <w:webHidden/>
              </w:rPr>
              <w:fldChar w:fldCharType="separate"/>
            </w:r>
            <w:r w:rsidR="00C61F66">
              <w:rPr>
                <w:noProof/>
                <w:webHidden/>
              </w:rPr>
              <w:t>3</w:t>
            </w:r>
            <w:r w:rsidR="00C61F66">
              <w:rPr>
                <w:noProof/>
                <w:webHidden/>
              </w:rPr>
              <w:fldChar w:fldCharType="end"/>
            </w:r>
          </w:hyperlink>
        </w:p>
        <w:p w14:paraId="501025D6" w14:textId="6852D84C" w:rsidR="00C61F66" w:rsidRDefault="008A41F7">
          <w:pPr>
            <w:pStyle w:val="TOC2"/>
            <w:tabs>
              <w:tab w:val="right" w:leader="dot" w:pos="9350"/>
            </w:tabs>
            <w:rPr>
              <w:rFonts w:eastAsiaTheme="minorEastAsia"/>
              <w:noProof/>
              <w:lang w:eastAsia="ja-JP"/>
            </w:rPr>
          </w:pPr>
          <w:hyperlink w:anchor="_Toc83981457" w:history="1">
            <w:r w:rsidR="00C61F66" w:rsidRPr="000E0E6D">
              <w:rPr>
                <w:rStyle w:val="Hyperlink"/>
                <w:noProof/>
              </w:rPr>
              <w:t>Cash Management Policy</w:t>
            </w:r>
            <w:r w:rsidR="00C61F66">
              <w:rPr>
                <w:noProof/>
                <w:webHidden/>
              </w:rPr>
              <w:tab/>
            </w:r>
            <w:r w:rsidR="00C61F66">
              <w:rPr>
                <w:noProof/>
                <w:webHidden/>
              </w:rPr>
              <w:fldChar w:fldCharType="begin"/>
            </w:r>
            <w:r w:rsidR="00C61F66">
              <w:rPr>
                <w:noProof/>
                <w:webHidden/>
              </w:rPr>
              <w:instrText xml:space="preserve"> PAGEREF _Toc83981457 \h </w:instrText>
            </w:r>
            <w:r w:rsidR="00C61F66">
              <w:rPr>
                <w:noProof/>
                <w:webHidden/>
              </w:rPr>
            </w:r>
            <w:r w:rsidR="00C61F66">
              <w:rPr>
                <w:noProof/>
                <w:webHidden/>
              </w:rPr>
              <w:fldChar w:fldCharType="separate"/>
            </w:r>
            <w:r w:rsidR="00C61F66">
              <w:rPr>
                <w:noProof/>
                <w:webHidden/>
              </w:rPr>
              <w:t>3</w:t>
            </w:r>
            <w:r w:rsidR="00C61F66">
              <w:rPr>
                <w:noProof/>
                <w:webHidden/>
              </w:rPr>
              <w:fldChar w:fldCharType="end"/>
            </w:r>
          </w:hyperlink>
        </w:p>
        <w:p w14:paraId="16886221" w14:textId="30D87B7D" w:rsidR="00C61F66" w:rsidRDefault="008A41F7">
          <w:pPr>
            <w:pStyle w:val="TOC2"/>
            <w:tabs>
              <w:tab w:val="right" w:leader="dot" w:pos="9350"/>
            </w:tabs>
            <w:rPr>
              <w:rFonts w:eastAsiaTheme="minorEastAsia"/>
              <w:noProof/>
              <w:lang w:eastAsia="ja-JP"/>
            </w:rPr>
          </w:pPr>
          <w:hyperlink w:anchor="_Toc83981458" w:history="1">
            <w:r w:rsidR="00C61F66" w:rsidRPr="000E0E6D">
              <w:rPr>
                <w:rStyle w:val="Hyperlink"/>
                <w:noProof/>
              </w:rPr>
              <w:t>Cash Disbursements</w:t>
            </w:r>
            <w:r w:rsidR="00C61F66">
              <w:rPr>
                <w:noProof/>
                <w:webHidden/>
              </w:rPr>
              <w:tab/>
            </w:r>
            <w:r w:rsidR="00C61F66">
              <w:rPr>
                <w:noProof/>
                <w:webHidden/>
              </w:rPr>
              <w:fldChar w:fldCharType="begin"/>
            </w:r>
            <w:r w:rsidR="00C61F66">
              <w:rPr>
                <w:noProof/>
                <w:webHidden/>
              </w:rPr>
              <w:instrText xml:space="preserve"> PAGEREF _Toc83981458 \h </w:instrText>
            </w:r>
            <w:r w:rsidR="00C61F66">
              <w:rPr>
                <w:noProof/>
                <w:webHidden/>
              </w:rPr>
            </w:r>
            <w:r w:rsidR="00C61F66">
              <w:rPr>
                <w:noProof/>
                <w:webHidden/>
              </w:rPr>
              <w:fldChar w:fldCharType="separate"/>
            </w:r>
            <w:r w:rsidR="00C61F66">
              <w:rPr>
                <w:noProof/>
                <w:webHidden/>
              </w:rPr>
              <w:t>3</w:t>
            </w:r>
            <w:r w:rsidR="00C61F66">
              <w:rPr>
                <w:noProof/>
                <w:webHidden/>
              </w:rPr>
              <w:fldChar w:fldCharType="end"/>
            </w:r>
          </w:hyperlink>
        </w:p>
        <w:p w14:paraId="0929483C" w14:textId="3B3DA68B" w:rsidR="00C61F66" w:rsidRDefault="008A41F7">
          <w:pPr>
            <w:pStyle w:val="TOC2"/>
            <w:tabs>
              <w:tab w:val="right" w:leader="dot" w:pos="9350"/>
            </w:tabs>
            <w:rPr>
              <w:rFonts w:eastAsiaTheme="minorEastAsia"/>
              <w:noProof/>
              <w:lang w:eastAsia="ja-JP"/>
            </w:rPr>
          </w:pPr>
          <w:hyperlink w:anchor="_Toc83981459" w:history="1">
            <w:r w:rsidR="00C61F66" w:rsidRPr="000E0E6D">
              <w:rPr>
                <w:rStyle w:val="Hyperlink"/>
                <w:noProof/>
              </w:rPr>
              <w:t>Records and Information Management</w:t>
            </w:r>
            <w:r w:rsidR="00C61F66">
              <w:rPr>
                <w:noProof/>
                <w:webHidden/>
              </w:rPr>
              <w:tab/>
            </w:r>
            <w:r w:rsidR="00C61F66">
              <w:rPr>
                <w:noProof/>
                <w:webHidden/>
              </w:rPr>
              <w:fldChar w:fldCharType="begin"/>
            </w:r>
            <w:r w:rsidR="00C61F66">
              <w:rPr>
                <w:noProof/>
                <w:webHidden/>
              </w:rPr>
              <w:instrText xml:space="preserve"> PAGEREF _Toc83981459 \h </w:instrText>
            </w:r>
            <w:r w:rsidR="00C61F66">
              <w:rPr>
                <w:noProof/>
                <w:webHidden/>
              </w:rPr>
            </w:r>
            <w:r w:rsidR="00C61F66">
              <w:rPr>
                <w:noProof/>
                <w:webHidden/>
              </w:rPr>
              <w:fldChar w:fldCharType="separate"/>
            </w:r>
            <w:r w:rsidR="00C61F66">
              <w:rPr>
                <w:noProof/>
                <w:webHidden/>
              </w:rPr>
              <w:t>3</w:t>
            </w:r>
            <w:r w:rsidR="00C61F66">
              <w:rPr>
                <w:noProof/>
                <w:webHidden/>
              </w:rPr>
              <w:fldChar w:fldCharType="end"/>
            </w:r>
          </w:hyperlink>
        </w:p>
        <w:p w14:paraId="0FC4DAC6" w14:textId="78C66C5C" w:rsidR="00C61F66" w:rsidRDefault="008A41F7">
          <w:pPr>
            <w:pStyle w:val="TOC2"/>
            <w:tabs>
              <w:tab w:val="right" w:leader="dot" w:pos="9350"/>
            </w:tabs>
            <w:rPr>
              <w:rFonts w:eastAsiaTheme="minorEastAsia"/>
              <w:noProof/>
              <w:lang w:eastAsia="ja-JP"/>
            </w:rPr>
          </w:pPr>
          <w:hyperlink w:anchor="_Toc83981460" w:history="1">
            <w:r w:rsidR="00C61F66" w:rsidRPr="000E0E6D">
              <w:rPr>
                <w:rStyle w:val="Hyperlink"/>
                <w:noProof/>
              </w:rPr>
              <w:t>Financial Reports</w:t>
            </w:r>
            <w:r w:rsidR="00C61F66">
              <w:rPr>
                <w:noProof/>
                <w:webHidden/>
              </w:rPr>
              <w:tab/>
            </w:r>
            <w:r w:rsidR="00C61F66">
              <w:rPr>
                <w:noProof/>
                <w:webHidden/>
              </w:rPr>
              <w:fldChar w:fldCharType="begin"/>
            </w:r>
            <w:r w:rsidR="00C61F66">
              <w:rPr>
                <w:noProof/>
                <w:webHidden/>
              </w:rPr>
              <w:instrText xml:space="preserve"> PAGEREF _Toc83981460 \h </w:instrText>
            </w:r>
            <w:r w:rsidR="00C61F66">
              <w:rPr>
                <w:noProof/>
                <w:webHidden/>
              </w:rPr>
            </w:r>
            <w:r w:rsidR="00C61F66">
              <w:rPr>
                <w:noProof/>
                <w:webHidden/>
              </w:rPr>
              <w:fldChar w:fldCharType="separate"/>
            </w:r>
            <w:r w:rsidR="00C61F66">
              <w:rPr>
                <w:noProof/>
                <w:webHidden/>
              </w:rPr>
              <w:t>3</w:t>
            </w:r>
            <w:r w:rsidR="00C61F66">
              <w:rPr>
                <w:noProof/>
                <w:webHidden/>
              </w:rPr>
              <w:fldChar w:fldCharType="end"/>
            </w:r>
          </w:hyperlink>
        </w:p>
        <w:p w14:paraId="0E09A185" w14:textId="046AE43A" w:rsidR="00C61F66" w:rsidRDefault="008A41F7">
          <w:pPr>
            <w:pStyle w:val="TOC2"/>
            <w:tabs>
              <w:tab w:val="right" w:leader="dot" w:pos="9350"/>
            </w:tabs>
            <w:rPr>
              <w:rFonts w:eastAsiaTheme="minorEastAsia"/>
              <w:noProof/>
              <w:lang w:eastAsia="ja-JP"/>
            </w:rPr>
          </w:pPr>
          <w:hyperlink w:anchor="_Toc83981461" w:history="1">
            <w:r w:rsidR="00C61F66" w:rsidRPr="000E0E6D">
              <w:rPr>
                <w:rStyle w:val="Hyperlink"/>
                <w:noProof/>
              </w:rPr>
              <w:t>Oversight</w:t>
            </w:r>
            <w:r w:rsidR="00C61F66">
              <w:rPr>
                <w:noProof/>
                <w:webHidden/>
              </w:rPr>
              <w:tab/>
            </w:r>
            <w:r w:rsidR="00C61F66">
              <w:rPr>
                <w:noProof/>
                <w:webHidden/>
              </w:rPr>
              <w:fldChar w:fldCharType="begin"/>
            </w:r>
            <w:r w:rsidR="00C61F66">
              <w:rPr>
                <w:noProof/>
                <w:webHidden/>
              </w:rPr>
              <w:instrText xml:space="preserve"> PAGEREF _Toc83981461 \h </w:instrText>
            </w:r>
            <w:r w:rsidR="00C61F66">
              <w:rPr>
                <w:noProof/>
                <w:webHidden/>
              </w:rPr>
            </w:r>
            <w:r w:rsidR="00C61F66">
              <w:rPr>
                <w:noProof/>
                <w:webHidden/>
              </w:rPr>
              <w:fldChar w:fldCharType="separate"/>
            </w:r>
            <w:r w:rsidR="00C61F66">
              <w:rPr>
                <w:noProof/>
                <w:webHidden/>
              </w:rPr>
              <w:t>3</w:t>
            </w:r>
            <w:r w:rsidR="00C61F66">
              <w:rPr>
                <w:noProof/>
                <w:webHidden/>
              </w:rPr>
              <w:fldChar w:fldCharType="end"/>
            </w:r>
          </w:hyperlink>
        </w:p>
        <w:p w14:paraId="2D24662E" w14:textId="228618A6" w:rsidR="00FF6CD8" w:rsidRDefault="00FF6CD8">
          <w:r>
            <w:rPr>
              <w:b/>
              <w:bCs/>
              <w:noProof/>
            </w:rPr>
            <w:fldChar w:fldCharType="end"/>
          </w:r>
        </w:p>
      </w:sdtContent>
    </w:sdt>
    <w:p w14:paraId="2890FF70" w14:textId="57EFCE86" w:rsidR="00FF6CD8" w:rsidRDefault="00FF6CD8"/>
    <w:p w14:paraId="14010339" w14:textId="77777777" w:rsidR="00FF6CD8" w:rsidRDefault="00FF6CD8">
      <w:pPr>
        <w:sectPr w:rsidR="00FF6CD8" w:rsidSect="009D7758">
          <w:headerReference w:type="default" r:id="rId15"/>
          <w:footerReference w:type="default" r:id="rId16"/>
          <w:pgSz w:w="12240" w:h="15840"/>
          <w:pgMar w:top="1440" w:right="1440" w:bottom="1440" w:left="1440" w:header="720" w:footer="720" w:gutter="0"/>
          <w:pgNumType w:start="1"/>
          <w:cols w:space="720"/>
          <w:docGrid w:linePitch="360"/>
        </w:sectPr>
      </w:pPr>
    </w:p>
    <w:p w14:paraId="25D2E20B" w14:textId="59161AD0" w:rsidR="00FF6CD8" w:rsidRDefault="00FF6CD8" w:rsidP="00FF6CD8">
      <w:pPr>
        <w:pStyle w:val="Heading1"/>
      </w:pPr>
      <w:bookmarkStart w:id="0" w:name="_Toc83981448"/>
      <w:r>
        <w:t xml:space="preserve">ICRM </w:t>
      </w:r>
      <w:r w:rsidR="00430666">
        <w:t xml:space="preserve">Financial Management </w:t>
      </w:r>
      <w:r>
        <w:t>Policy</w:t>
      </w:r>
      <w:bookmarkEnd w:id="0"/>
    </w:p>
    <w:p w14:paraId="5080B56B" w14:textId="7BC96E98" w:rsidR="00EC1775" w:rsidRPr="009D7758" w:rsidRDefault="00EC1775" w:rsidP="4F964F37">
      <w:r>
        <w:t>The ICRM is committed to responsible financial management to ensure all financial matters are addressed with care, integrity, and in the best interest of the</w:t>
      </w:r>
      <w:r w:rsidRPr="4A3A1F26">
        <w:rPr>
          <w:b/>
          <w:bCs/>
        </w:rPr>
        <w:t xml:space="preserve"> </w:t>
      </w:r>
      <w:r>
        <w:t>ICRM.</w:t>
      </w:r>
      <w:r w:rsidR="000B0D59">
        <w:t xml:space="preserve"> The </w:t>
      </w:r>
      <w:r w:rsidR="5EF5D246">
        <w:t xml:space="preserve">ICRM </w:t>
      </w:r>
      <w:r w:rsidR="000B0D59">
        <w:t xml:space="preserve">President </w:t>
      </w:r>
      <w:r w:rsidR="7F22E4F6">
        <w:t xml:space="preserve">is responsible </w:t>
      </w:r>
      <w:r w:rsidR="000B0D59">
        <w:t xml:space="preserve">for administering this policy and ensuring compliance with </w:t>
      </w:r>
      <w:r w:rsidR="0069789E">
        <w:t>all</w:t>
      </w:r>
      <w:r w:rsidR="000B0D59">
        <w:t xml:space="preserve"> related procedures.  </w:t>
      </w:r>
      <w:r w:rsidR="02F87ABA">
        <w:t>T</w:t>
      </w:r>
      <w:r w:rsidR="000B0D59">
        <w:t xml:space="preserve">he Board of Regents </w:t>
      </w:r>
      <w:r w:rsidR="368BEBA5">
        <w:t>must</w:t>
      </w:r>
      <w:r w:rsidR="53F3FA5D">
        <w:t xml:space="preserve"> comply with</w:t>
      </w:r>
      <w:r w:rsidR="000B0D59">
        <w:t xml:space="preserve"> this policy and </w:t>
      </w:r>
      <w:r w:rsidR="0069789E">
        <w:t>all</w:t>
      </w:r>
      <w:r w:rsidR="000B0D59">
        <w:t xml:space="preserve"> related procedures</w:t>
      </w:r>
      <w:r w:rsidR="41322ED3">
        <w:t>,</w:t>
      </w:r>
      <w:r w:rsidR="000B0D59">
        <w:t xml:space="preserve"> </w:t>
      </w:r>
      <w:r w:rsidR="42CDFF34">
        <w:t>and</w:t>
      </w:r>
      <w:r w:rsidR="5487E0E5">
        <w:t xml:space="preserve"> may approve changes or amendments to this policy and all related procedures at any time.  A complete review of the policy shall be conducted at least once every 3 years.</w:t>
      </w:r>
    </w:p>
    <w:p w14:paraId="5773D659" w14:textId="7A1F8682" w:rsidR="00FF6CD8" w:rsidRDefault="00FF6CD8" w:rsidP="00FF6CD8">
      <w:pPr>
        <w:pStyle w:val="Heading2"/>
      </w:pPr>
      <w:bookmarkStart w:id="1" w:name="_Toc83981449"/>
      <w:r>
        <w:t>General Purpose</w:t>
      </w:r>
      <w:bookmarkEnd w:id="1"/>
    </w:p>
    <w:p w14:paraId="21ADD6BC" w14:textId="3BAEC23F" w:rsidR="00FF6CD8" w:rsidRDefault="00EC1775" w:rsidP="00FF6CD8">
      <w:r>
        <w:t>The purpose of this Financial Management Policy is to establish guidelines for the Board of Regents about standards and procedures to be applied when developing financial goals and objectives, making financial decisions, and reporting the financial status of the ICRM.</w:t>
      </w:r>
    </w:p>
    <w:p w14:paraId="2F93C084" w14:textId="5F459250" w:rsidR="00FF6CD8" w:rsidRDefault="00FF6CD8" w:rsidP="00FF6CD8">
      <w:pPr>
        <w:pStyle w:val="Heading2"/>
      </w:pPr>
      <w:bookmarkStart w:id="2" w:name="_Toc83981450"/>
      <w:r>
        <w:t>Financial Responsibilities</w:t>
      </w:r>
      <w:bookmarkEnd w:id="2"/>
    </w:p>
    <w:p w14:paraId="1721EAA5" w14:textId="4E6377F2" w:rsidR="000B0D59" w:rsidRDefault="7C88B77B" w:rsidP="00FF6CD8">
      <w:r>
        <w:t xml:space="preserve">The President-Elect/Treasurer is responsible for the oversight of ICRM’s finances. </w:t>
      </w:r>
      <w:r w:rsidR="0B87E7BF">
        <w:t>The ICRM’s Association Management Company is responsible for</w:t>
      </w:r>
      <w:r w:rsidR="44DF8568">
        <w:t>:</w:t>
      </w:r>
      <w:r w:rsidR="000B0D59">
        <w:t xml:space="preserve"> the accounting software’s chart of accounts</w:t>
      </w:r>
      <w:r w:rsidR="180B81C2">
        <w:t>;</w:t>
      </w:r>
      <w:r w:rsidR="000B0D59">
        <w:t xml:space="preserve"> </w:t>
      </w:r>
      <w:r w:rsidR="661144F1">
        <w:t xml:space="preserve">the </w:t>
      </w:r>
      <w:r w:rsidR="000B0D59">
        <w:t>maintenance of the general ledger</w:t>
      </w:r>
      <w:r w:rsidR="55EAC312">
        <w:t>;</w:t>
      </w:r>
      <w:r w:rsidR="000B0D59">
        <w:t xml:space="preserve"> cash management</w:t>
      </w:r>
      <w:r w:rsidR="4A3604C1">
        <w:t>;</w:t>
      </w:r>
      <w:r w:rsidR="000B0D59">
        <w:t xml:space="preserve"> accounts payable</w:t>
      </w:r>
      <w:r w:rsidR="0DE38E3B">
        <w:t>;</w:t>
      </w:r>
      <w:r w:rsidR="000B0D59">
        <w:t xml:space="preserve"> accounts receivable</w:t>
      </w:r>
      <w:r w:rsidR="73632AEA">
        <w:t>;</w:t>
      </w:r>
      <w:r w:rsidR="000B0D59">
        <w:t xml:space="preserve"> journal entries</w:t>
      </w:r>
      <w:r w:rsidR="75C65F06">
        <w:t>;</w:t>
      </w:r>
      <w:r w:rsidR="000B0D59">
        <w:t xml:space="preserve"> and</w:t>
      </w:r>
      <w:r w:rsidR="67E8E207">
        <w:t>, the</w:t>
      </w:r>
      <w:r w:rsidR="000B0D59">
        <w:t xml:space="preserve"> responsibility of preparing required reports for compliance with the Internal Revenue Service (IRS) </w:t>
      </w:r>
      <w:r w:rsidR="009D0BB9">
        <w:t xml:space="preserve">and any </w:t>
      </w:r>
      <w:r w:rsidR="4563B78A">
        <w:t xml:space="preserve">other </w:t>
      </w:r>
      <w:r w:rsidR="009D0BB9">
        <w:t>requirements as may be prescribed by federal or state laws, regulations, or guidelines.</w:t>
      </w:r>
      <w:r w:rsidR="00615044">
        <w:t xml:space="preserve"> </w:t>
      </w:r>
    </w:p>
    <w:p w14:paraId="0EA42BD2" w14:textId="3A69FA96" w:rsidR="00FF6CD8" w:rsidRDefault="00EC1775" w:rsidP="00FF6CD8">
      <w:r>
        <w:t xml:space="preserve">The ICRM’s financial statements shall be prepared on the accrual basis in accordance with Generally Accepted Accounting Principles (“GAAP”). </w:t>
      </w:r>
      <w:r w:rsidR="74EAF4F4">
        <w:t>Financial reports shall be provided to the Board of Regents for each monthly board meeting.</w:t>
      </w:r>
      <w:r w:rsidR="000B0D59">
        <w:t xml:space="preserve"> </w:t>
      </w:r>
      <w:r w:rsidR="00615044">
        <w:t xml:space="preserve"> </w:t>
      </w:r>
    </w:p>
    <w:p w14:paraId="7A01936E" w14:textId="1F40C3B4" w:rsidR="0042439F" w:rsidRDefault="0042439F" w:rsidP="0042439F">
      <w:pPr>
        <w:pStyle w:val="Heading2"/>
      </w:pPr>
      <w:bookmarkStart w:id="3" w:name="_Toc83981451"/>
      <w:r>
        <w:t xml:space="preserve">Finance </w:t>
      </w:r>
      <w:r w:rsidR="1426D1DC">
        <w:t xml:space="preserve">Advisory </w:t>
      </w:r>
      <w:r>
        <w:t>Committee</w:t>
      </w:r>
      <w:bookmarkEnd w:id="3"/>
    </w:p>
    <w:p w14:paraId="2575E8C3" w14:textId="12F90217" w:rsidR="71B7F92F" w:rsidRDefault="71B7F92F" w:rsidP="21BA8AC0">
      <w:pPr>
        <w:rPr>
          <w:b/>
          <w:bCs/>
        </w:rPr>
      </w:pPr>
      <w:r w:rsidRPr="21BA8AC0">
        <w:rPr>
          <w:b/>
          <w:bCs/>
        </w:rPr>
        <w:t>Role</w:t>
      </w:r>
    </w:p>
    <w:p w14:paraId="26B4ABA1" w14:textId="5EF63CB6" w:rsidR="71B7F92F" w:rsidRDefault="71B7F92F" w:rsidP="21BA8AC0">
      <w:r>
        <w:t>The role of the Finance Advisory Committee is to</w:t>
      </w:r>
      <w:r w:rsidR="2C5EA91A">
        <w:t xml:space="preserve"> </w:t>
      </w:r>
      <w:r w:rsidR="767F6CD9">
        <w:t xml:space="preserve">provide </w:t>
      </w:r>
      <w:r w:rsidR="410180B0">
        <w:t xml:space="preserve">sound financial advice to the </w:t>
      </w:r>
      <w:r w:rsidR="2013C6E3">
        <w:t>Board t</w:t>
      </w:r>
      <w:r w:rsidR="410180B0">
        <w:t>o assure the long-term financial stability of the ICRM.</w:t>
      </w:r>
    </w:p>
    <w:p w14:paraId="158954A0" w14:textId="44AA58DF" w:rsidR="71B7F92F" w:rsidRDefault="71B7F92F" w:rsidP="21BA8AC0">
      <w:r w:rsidRPr="21BA8AC0">
        <w:rPr>
          <w:b/>
          <w:bCs/>
        </w:rPr>
        <w:t>Committee Members</w:t>
      </w:r>
    </w:p>
    <w:p w14:paraId="4BC25975" w14:textId="0BCB22F0" w:rsidR="71B7F92F" w:rsidRDefault="71B7F92F" w:rsidP="21BA8AC0">
      <w:pPr>
        <w:spacing w:after="0"/>
        <w:ind w:left="360"/>
      </w:pPr>
      <w:r>
        <w:t>President-Elect/Treasurer (Chair)</w:t>
      </w:r>
    </w:p>
    <w:p w14:paraId="7B50B21E" w14:textId="7EA0D7EE" w:rsidR="71B7F92F" w:rsidRDefault="71B7F92F" w:rsidP="21BA8AC0">
      <w:pPr>
        <w:spacing w:after="0"/>
        <w:ind w:left="360"/>
      </w:pPr>
      <w:r>
        <w:t>President</w:t>
      </w:r>
    </w:p>
    <w:p w14:paraId="26C8A74B" w14:textId="1E937C95" w:rsidR="71B7F92F" w:rsidRDefault="1674379D" w:rsidP="21BA8AC0">
      <w:pPr>
        <w:ind w:left="360"/>
      </w:pPr>
      <w:r>
        <w:t>Two additional members, at least on</w:t>
      </w:r>
      <w:r w:rsidR="4F903D53">
        <w:t>e</w:t>
      </w:r>
      <w:r>
        <w:t xml:space="preserve"> shall be a non-Board member</w:t>
      </w:r>
    </w:p>
    <w:p w14:paraId="652039B8" w14:textId="08609D85" w:rsidR="71B7F92F" w:rsidRDefault="71B7F92F" w:rsidP="21BA8AC0">
      <w:pPr>
        <w:rPr>
          <w:b/>
          <w:bCs/>
        </w:rPr>
      </w:pPr>
      <w:r w:rsidRPr="21BA8AC0">
        <w:rPr>
          <w:b/>
          <w:bCs/>
        </w:rPr>
        <w:t>Financial Planning</w:t>
      </w:r>
    </w:p>
    <w:p w14:paraId="6E00C22C" w14:textId="3F4D4CF6" w:rsidR="71B7F92F" w:rsidRDefault="1674379D" w:rsidP="0C79D84E">
      <w:pPr>
        <w:pStyle w:val="ListParagraph"/>
        <w:numPr>
          <w:ilvl w:val="0"/>
          <w:numId w:val="1"/>
        </w:numPr>
        <w:rPr>
          <w:rFonts w:eastAsiaTheme="minorEastAsia"/>
        </w:rPr>
      </w:pPr>
      <w:r w:rsidRPr="0C79D84E">
        <w:rPr>
          <w:rFonts w:ascii="Calibri" w:eastAsia="Calibri" w:hAnsi="Calibri" w:cs="Calibri"/>
        </w:rPr>
        <w:t>Review Financial Management Policy at least every 3 years and provide recommendations to the Board of Regents</w:t>
      </w:r>
      <w:r w:rsidR="7D05FC3A" w:rsidRPr="0C79D84E">
        <w:rPr>
          <w:rFonts w:ascii="Calibri" w:eastAsia="Calibri" w:hAnsi="Calibri" w:cs="Calibri"/>
        </w:rPr>
        <w:t>.</w:t>
      </w:r>
      <w:r w:rsidRPr="0C79D84E">
        <w:rPr>
          <w:rFonts w:ascii="Calibri" w:eastAsia="Calibri" w:hAnsi="Calibri" w:cs="Calibri"/>
        </w:rPr>
        <w:t xml:space="preserve"> </w:t>
      </w:r>
    </w:p>
    <w:p w14:paraId="5E9FC4F7" w14:textId="26726A67" w:rsidR="71B7F92F" w:rsidRDefault="1EEAA51F" w:rsidP="0C79D84E">
      <w:pPr>
        <w:pStyle w:val="ListParagraph"/>
        <w:numPr>
          <w:ilvl w:val="0"/>
          <w:numId w:val="1"/>
        </w:numPr>
        <w:rPr>
          <w:rFonts w:eastAsiaTheme="minorEastAsia"/>
        </w:rPr>
      </w:pPr>
      <w:r w:rsidRPr="0C79D84E">
        <w:rPr>
          <w:rFonts w:ascii="Calibri" w:eastAsia="Calibri" w:hAnsi="Calibri" w:cs="Calibri"/>
        </w:rPr>
        <w:t>Review investment</w:t>
      </w:r>
      <w:r w:rsidR="6B3C92B9" w:rsidRPr="0C79D84E">
        <w:rPr>
          <w:rFonts w:ascii="Calibri" w:eastAsia="Calibri" w:hAnsi="Calibri" w:cs="Calibri"/>
        </w:rPr>
        <w:t xml:space="preserve"> allocation and disbursement</w:t>
      </w:r>
      <w:r w:rsidR="21673B77" w:rsidRPr="0C79D84E">
        <w:rPr>
          <w:rFonts w:ascii="Calibri" w:eastAsia="Calibri" w:hAnsi="Calibri" w:cs="Calibri"/>
        </w:rPr>
        <w:t xml:space="preserve"> </w:t>
      </w:r>
      <w:r w:rsidRPr="0C79D84E">
        <w:rPr>
          <w:rFonts w:ascii="Calibri" w:eastAsia="Calibri" w:hAnsi="Calibri" w:cs="Calibri"/>
        </w:rPr>
        <w:t xml:space="preserve">at least annually and make recommendations to the </w:t>
      </w:r>
      <w:r w:rsidR="657956AC" w:rsidRPr="0C79D84E">
        <w:rPr>
          <w:rFonts w:ascii="Calibri" w:eastAsia="Calibri" w:hAnsi="Calibri" w:cs="Calibri"/>
        </w:rPr>
        <w:t>B</w:t>
      </w:r>
      <w:r w:rsidRPr="0C79D84E">
        <w:rPr>
          <w:rFonts w:ascii="Calibri" w:eastAsia="Calibri" w:hAnsi="Calibri" w:cs="Calibri"/>
        </w:rPr>
        <w:t>oard</w:t>
      </w:r>
      <w:r w:rsidR="335761D6" w:rsidRPr="0C79D84E">
        <w:rPr>
          <w:rFonts w:ascii="Calibri" w:eastAsia="Calibri" w:hAnsi="Calibri" w:cs="Calibri"/>
        </w:rPr>
        <w:t xml:space="preserve"> of Regents.</w:t>
      </w:r>
      <w:r w:rsidR="46323E52" w:rsidRPr="0C79D84E">
        <w:rPr>
          <w:rFonts w:ascii="Calibri" w:eastAsia="Calibri" w:hAnsi="Calibri" w:cs="Calibri"/>
        </w:rPr>
        <w:t xml:space="preserve"> </w:t>
      </w:r>
    </w:p>
    <w:p w14:paraId="31A4B9A1" w14:textId="6E5D6869" w:rsidR="71B7F92F" w:rsidRDefault="1674379D" w:rsidP="0C79D84E">
      <w:pPr>
        <w:pStyle w:val="ListParagraph"/>
        <w:numPr>
          <w:ilvl w:val="0"/>
          <w:numId w:val="1"/>
        </w:numPr>
        <w:rPr>
          <w:rFonts w:eastAsiaTheme="minorEastAsia"/>
        </w:rPr>
      </w:pPr>
      <w:r w:rsidRPr="0C79D84E">
        <w:rPr>
          <w:rFonts w:ascii="Calibri" w:eastAsia="Calibri" w:hAnsi="Calibri" w:cs="Calibri"/>
        </w:rPr>
        <w:t>Develop long-range financial goals and strategies to be presented to the Board of Regents</w:t>
      </w:r>
      <w:r w:rsidR="2241BBD3" w:rsidRPr="0C79D84E">
        <w:rPr>
          <w:rFonts w:ascii="Calibri" w:eastAsia="Calibri" w:hAnsi="Calibri" w:cs="Calibri"/>
        </w:rPr>
        <w:t>.</w:t>
      </w:r>
    </w:p>
    <w:p w14:paraId="74D848DA" w14:textId="46248BF7" w:rsidR="3F44B5A0" w:rsidRDefault="3F44B5A0" w:rsidP="21BA8AC0">
      <w:pPr>
        <w:rPr>
          <w:b/>
          <w:bCs/>
        </w:rPr>
      </w:pPr>
      <w:r w:rsidRPr="21BA8AC0">
        <w:rPr>
          <w:b/>
          <w:bCs/>
        </w:rPr>
        <w:t>Internal Controls</w:t>
      </w:r>
    </w:p>
    <w:p w14:paraId="1019EE60" w14:textId="7AB5D5B0" w:rsidR="3F44B5A0" w:rsidRDefault="3F44B5A0" w:rsidP="0C79D84E">
      <w:pPr>
        <w:pStyle w:val="ListParagraph"/>
        <w:numPr>
          <w:ilvl w:val="0"/>
          <w:numId w:val="3"/>
        </w:numPr>
        <w:rPr>
          <w:rFonts w:eastAsiaTheme="minorEastAsia"/>
        </w:rPr>
      </w:pPr>
      <w:r w:rsidRPr="0C79D84E">
        <w:rPr>
          <w:rFonts w:ascii="Calibri" w:eastAsia="Calibri" w:hAnsi="Calibri" w:cs="Calibri"/>
        </w:rPr>
        <w:t>Review ICRM Administrative Office financial policies and procedures at least once every 3 years</w:t>
      </w:r>
      <w:r w:rsidR="75866E3C" w:rsidRPr="0C79D84E">
        <w:rPr>
          <w:rFonts w:ascii="Calibri" w:eastAsia="Calibri" w:hAnsi="Calibri" w:cs="Calibri"/>
        </w:rPr>
        <w:t>.</w:t>
      </w:r>
    </w:p>
    <w:p w14:paraId="534D58FC" w14:textId="2509D807" w:rsidR="00FF6CD8" w:rsidRDefault="00FF6CD8" w:rsidP="00FF6CD8">
      <w:pPr>
        <w:pStyle w:val="Heading2"/>
      </w:pPr>
      <w:bookmarkStart w:id="4" w:name="_Toc83981452"/>
      <w:r>
        <w:t>Accounting Methods and Standards</w:t>
      </w:r>
      <w:bookmarkEnd w:id="4"/>
    </w:p>
    <w:p w14:paraId="0DE125A1" w14:textId="77777777" w:rsidR="0043765E" w:rsidRDefault="0043765E" w:rsidP="009D7758">
      <w:pPr>
        <w:rPr>
          <w:sz w:val="23"/>
          <w:szCs w:val="23"/>
        </w:rPr>
      </w:pPr>
      <w:r w:rsidRPr="411AD2A6">
        <w:rPr>
          <w:sz w:val="23"/>
          <w:szCs w:val="23"/>
        </w:rPr>
        <w:t xml:space="preserve">The ICRM’s fiscal year begins January 1 and ends December 31.  Any changes to the fiscal year must be ratified by majority votes of the ICRM’s Board of Regents. </w:t>
      </w:r>
    </w:p>
    <w:p w14:paraId="47666F8F" w14:textId="47B5EC66" w:rsidR="2F6BD36F" w:rsidRDefault="2F6BD36F" w:rsidP="267A8DD7">
      <w:pPr>
        <w:rPr>
          <w:sz w:val="23"/>
          <w:szCs w:val="23"/>
        </w:rPr>
      </w:pPr>
      <w:r w:rsidRPr="4F964F37">
        <w:rPr>
          <w:sz w:val="23"/>
          <w:szCs w:val="23"/>
        </w:rPr>
        <w:t>The purpose of financial management in the operations of all of ICRM activities is to fulfill the organization’s mission in the most effective and efficient manner and to remain accountable to members, partners</w:t>
      </w:r>
      <w:r w:rsidR="217BC264" w:rsidRPr="4F964F37">
        <w:rPr>
          <w:sz w:val="23"/>
          <w:szCs w:val="23"/>
        </w:rPr>
        <w:t>,</w:t>
      </w:r>
      <w:r w:rsidRPr="4F964F37">
        <w:rPr>
          <w:sz w:val="23"/>
          <w:szCs w:val="23"/>
        </w:rPr>
        <w:t xml:space="preserve"> and the community.  In order to accomplish this, ICRM commits to providing accurate and complete financial data for internal and external use by the Board of Directors.</w:t>
      </w:r>
    </w:p>
    <w:p w14:paraId="428D187E" w14:textId="42A19A95" w:rsidR="000F415A" w:rsidRDefault="000F415A" w:rsidP="000F415A">
      <w:pPr>
        <w:pStyle w:val="Heading2"/>
      </w:pPr>
      <w:bookmarkStart w:id="5" w:name="_Toc83981453"/>
      <w:r>
        <w:t>Invest</w:t>
      </w:r>
      <w:r w:rsidR="005A5E9F">
        <w:t>ments</w:t>
      </w:r>
      <w:bookmarkEnd w:id="5"/>
    </w:p>
    <w:p w14:paraId="7058F3C2" w14:textId="6CF62255" w:rsidR="7A071BC1" w:rsidRDefault="7A071BC1" w:rsidP="104E098C">
      <w:pPr>
        <w:rPr>
          <w:rFonts w:ascii="Calibri" w:eastAsia="Calibri" w:hAnsi="Calibri" w:cs="Calibri"/>
        </w:rPr>
      </w:pPr>
      <w:r w:rsidRPr="104E098C">
        <w:rPr>
          <w:rFonts w:ascii="Calibri" w:eastAsia="Calibri" w:hAnsi="Calibri" w:cs="Calibri"/>
        </w:rPr>
        <w:t>The investment portfolio of the ICRM must be b</w:t>
      </w:r>
      <w:r w:rsidR="21E1236F" w:rsidRPr="104E098C">
        <w:rPr>
          <w:rFonts w:ascii="Calibri" w:eastAsia="Calibri" w:hAnsi="Calibri" w:cs="Calibri"/>
        </w:rPr>
        <w:t>alanced based on recommendations of</w:t>
      </w:r>
      <w:r w:rsidR="61F95897" w:rsidRPr="104E098C">
        <w:rPr>
          <w:rFonts w:ascii="Calibri" w:eastAsia="Calibri" w:hAnsi="Calibri" w:cs="Calibri"/>
        </w:rPr>
        <w:t xml:space="preserve"> the</w:t>
      </w:r>
      <w:r w:rsidR="21E1236F" w:rsidRPr="104E098C">
        <w:rPr>
          <w:rFonts w:ascii="Calibri" w:eastAsia="Calibri" w:hAnsi="Calibri" w:cs="Calibri"/>
        </w:rPr>
        <w:t xml:space="preserve"> Financial Advisor</w:t>
      </w:r>
      <w:r w:rsidR="448632EF" w:rsidRPr="104E098C">
        <w:rPr>
          <w:rFonts w:ascii="Calibri" w:eastAsia="Calibri" w:hAnsi="Calibri" w:cs="Calibri"/>
        </w:rPr>
        <w:t xml:space="preserve">.  The ICRM’s risk tolerance is </w:t>
      </w:r>
      <w:r w:rsidR="6EB800EE" w:rsidRPr="104E098C">
        <w:rPr>
          <w:rFonts w:ascii="Calibri" w:eastAsia="Calibri" w:hAnsi="Calibri" w:cs="Calibri"/>
        </w:rPr>
        <w:t>c</w:t>
      </w:r>
      <w:r w:rsidR="468184D7" w:rsidRPr="104E098C">
        <w:rPr>
          <w:rFonts w:ascii="Calibri" w:eastAsia="Calibri" w:hAnsi="Calibri" w:cs="Calibri"/>
        </w:rPr>
        <w:t>onservative</w:t>
      </w:r>
      <w:r w:rsidR="23845728" w:rsidRPr="104E098C">
        <w:rPr>
          <w:rFonts w:ascii="Calibri" w:eastAsia="Calibri" w:hAnsi="Calibri" w:cs="Calibri"/>
        </w:rPr>
        <w:t xml:space="preserve"> to </w:t>
      </w:r>
      <w:r w:rsidR="589489D3" w:rsidRPr="104E098C">
        <w:rPr>
          <w:rFonts w:ascii="Calibri" w:eastAsia="Calibri" w:hAnsi="Calibri" w:cs="Calibri"/>
        </w:rPr>
        <w:t>m</w:t>
      </w:r>
      <w:r w:rsidR="23845728" w:rsidRPr="104E098C">
        <w:rPr>
          <w:rFonts w:ascii="Calibri" w:eastAsia="Calibri" w:hAnsi="Calibri" w:cs="Calibri"/>
        </w:rPr>
        <w:t>oderate</w:t>
      </w:r>
      <w:r w:rsidR="6FD0B58E" w:rsidRPr="104E098C">
        <w:rPr>
          <w:rFonts w:ascii="Calibri" w:eastAsia="Calibri" w:hAnsi="Calibri" w:cs="Calibri"/>
        </w:rPr>
        <w:t>.</w:t>
      </w:r>
      <w:r w:rsidR="5C16F455" w:rsidRPr="104E098C">
        <w:rPr>
          <w:rFonts w:ascii="Calibri" w:eastAsia="Calibri" w:hAnsi="Calibri" w:cs="Calibri"/>
        </w:rPr>
        <w:t xml:space="preserve"> </w:t>
      </w:r>
    </w:p>
    <w:p w14:paraId="4A677F9C" w14:textId="52EE79C1" w:rsidR="5C16F455" w:rsidRDefault="5C16F455" w:rsidP="104E098C">
      <w:pPr>
        <w:rPr>
          <w:rFonts w:ascii="Calibri" w:eastAsia="Calibri" w:hAnsi="Calibri" w:cs="Calibri"/>
        </w:rPr>
      </w:pPr>
      <w:r w:rsidRPr="629E1BB6">
        <w:rPr>
          <w:rFonts w:ascii="Calibri" w:eastAsia="Calibri" w:hAnsi="Calibri" w:cs="Calibri"/>
        </w:rPr>
        <w:t>The ICRM must have at least one year of operating expenses in savings.  Any additional funds above that may be invested.  No more than 50% of the value of the Money Market Account may be used for investments.</w:t>
      </w:r>
      <w:r w:rsidR="45792DBB" w:rsidRPr="629E1BB6">
        <w:rPr>
          <w:rFonts w:ascii="Calibri" w:eastAsia="Calibri" w:hAnsi="Calibri" w:cs="Calibri"/>
        </w:rPr>
        <w:t xml:space="preserve"> </w:t>
      </w:r>
      <w:r w:rsidR="4BBAA16C" w:rsidRPr="629E1BB6">
        <w:rPr>
          <w:rFonts w:ascii="Calibri" w:eastAsia="Calibri" w:hAnsi="Calibri" w:cs="Calibri"/>
        </w:rPr>
        <w:t xml:space="preserve">Up to 10% of the surplus each year </w:t>
      </w:r>
      <w:r w:rsidR="72FB0B20" w:rsidRPr="629E1BB6">
        <w:rPr>
          <w:rFonts w:ascii="Calibri" w:eastAsia="Calibri" w:hAnsi="Calibri" w:cs="Calibri"/>
        </w:rPr>
        <w:t>may be considered for investing</w:t>
      </w:r>
      <w:r w:rsidR="473C688C" w:rsidRPr="629E1BB6">
        <w:rPr>
          <w:rFonts w:ascii="Calibri" w:eastAsia="Calibri" w:hAnsi="Calibri" w:cs="Calibri"/>
        </w:rPr>
        <w:t xml:space="preserve">. </w:t>
      </w:r>
    </w:p>
    <w:p w14:paraId="5B3E68B8" w14:textId="428C5850" w:rsidR="473C688C" w:rsidRDefault="473C688C" w:rsidP="104E098C">
      <w:pPr>
        <w:rPr>
          <w:rFonts w:ascii="Calibri" w:eastAsia="Calibri" w:hAnsi="Calibri" w:cs="Calibri"/>
        </w:rPr>
      </w:pPr>
      <w:r w:rsidRPr="4F964F37">
        <w:rPr>
          <w:rFonts w:ascii="Calibri" w:eastAsia="Calibri" w:hAnsi="Calibri" w:cs="Calibri"/>
        </w:rPr>
        <w:t>The Financial Advisory Committee may propose additional funds based upon</w:t>
      </w:r>
      <w:r w:rsidR="6499E697" w:rsidRPr="4F964F37">
        <w:rPr>
          <w:rFonts w:ascii="Calibri" w:eastAsia="Calibri" w:hAnsi="Calibri" w:cs="Calibri"/>
        </w:rPr>
        <w:t xml:space="preserve"> the</w:t>
      </w:r>
      <w:r w:rsidRPr="4F964F37">
        <w:rPr>
          <w:rFonts w:ascii="Calibri" w:eastAsia="Calibri" w:hAnsi="Calibri" w:cs="Calibri"/>
        </w:rPr>
        <w:t xml:space="preserve"> ICRM’s financial position.</w:t>
      </w:r>
    </w:p>
    <w:p w14:paraId="5F710CE9" w14:textId="4414B7CD" w:rsidR="33E8C34A" w:rsidRDefault="1F512E87" w:rsidP="104E098C">
      <w:pPr>
        <w:rPr>
          <w:rFonts w:ascii="Calibri" w:eastAsia="Calibri" w:hAnsi="Calibri" w:cs="Calibri"/>
        </w:rPr>
      </w:pPr>
      <w:r w:rsidRPr="4F964F37">
        <w:rPr>
          <w:rFonts w:ascii="Calibri" w:eastAsia="Calibri" w:hAnsi="Calibri" w:cs="Calibri"/>
        </w:rPr>
        <w:t>The Financial</w:t>
      </w:r>
      <w:r w:rsidR="5B770667" w:rsidRPr="4F964F37">
        <w:rPr>
          <w:rFonts w:ascii="Calibri" w:eastAsia="Calibri" w:hAnsi="Calibri" w:cs="Calibri"/>
        </w:rPr>
        <w:t xml:space="preserve"> A</w:t>
      </w:r>
      <w:r w:rsidRPr="4F964F37">
        <w:rPr>
          <w:rFonts w:ascii="Calibri" w:eastAsia="Calibri" w:hAnsi="Calibri" w:cs="Calibri"/>
        </w:rPr>
        <w:t xml:space="preserve">dvisory </w:t>
      </w:r>
      <w:r w:rsidR="2DD26F68" w:rsidRPr="4F964F37">
        <w:rPr>
          <w:rFonts w:ascii="Calibri" w:eastAsia="Calibri" w:hAnsi="Calibri" w:cs="Calibri"/>
        </w:rPr>
        <w:t>C</w:t>
      </w:r>
      <w:r w:rsidRPr="4F964F37">
        <w:rPr>
          <w:rFonts w:ascii="Calibri" w:eastAsia="Calibri" w:hAnsi="Calibri" w:cs="Calibri"/>
        </w:rPr>
        <w:t>ommittee will provide investment recommendations.</w:t>
      </w:r>
      <w:r w:rsidR="73DCB867" w:rsidRPr="4F964F37">
        <w:rPr>
          <w:rFonts w:ascii="Calibri" w:eastAsia="Calibri" w:hAnsi="Calibri" w:cs="Calibri"/>
        </w:rPr>
        <w:t xml:space="preserve"> </w:t>
      </w:r>
      <w:r w:rsidR="07399F37" w:rsidRPr="4F964F37">
        <w:rPr>
          <w:rFonts w:ascii="Calibri" w:eastAsia="Calibri" w:hAnsi="Calibri" w:cs="Calibri"/>
        </w:rPr>
        <w:t xml:space="preserve"> </w:t>
      </w:r>
      <w:r w:rsidR="5F4322FA" w:rsidRPr="4F964F37">
        <w:rPr>
          <w:rFonts w:ascii="Calibri" w:eastAsia="Calibri" w:hAnsi="Calibri" w:cs="Calibri"/>
        </w:rPr>
        <w:t xml:space="preserve">Once approved by the Board of Regents, the </w:t>
      </w:r>
      <w:r w:rsidR="675F9DB8" w:rsidRPr="4F964F37">
        <w:rPr>
          <w:rFonts w:ascii="Calibri" w:eastAsia="Calibri" w:hAnsi="Calibri" w:cs="Calibri"/>
        </w:rPr>
        <w:t xml:space="preserve">President-Elect/Treasurer </w:t>
      </w:r>
      <w:r w:rsidR="054E6C89" w:rsidRPr="4F964F37">
        <w:rPr>
          <w:rFonts w:ascii="Calibri" w:eastAsia="Calibri" w:hAnsi="Calibri" w:cs="Calibri"/>
        </w:rPr>
        <w:t>authoriz</w:t>
      </w:r>
      <w:r w:rsidR="5C1CFEED" w:rsidRPr="4F964F37">
        <w:rPr>
          <w:rFonts w:ascii="Calibri" w:eastAsia="Calibri" w:hAnsi="Calibri" w:cs="Calibri"/>
        </w:rPr>
        <w:t>es</w:t>
      </w:r>
      <w:r w:rsidR="054E6C89" w:rsidRPr="4F964F37">
        <w:rPr>
          <w:rFonts w:ascii="Calibri" w:eastAsia="Calibri" w:hAnsi="Calibri" w:cs="Calibri"/>
        </w:rPr>
        <w:t xml:space="preserve"> </w:t>
      </w:r>
      <w:r w:rsidR="78C384CC" w:rsidRPr="4F964F37">
        <w:rPr>
          <w:rFonts w:ascii="Calibri" w:eastAsia="Calibri" w:hAnsi="Calibri" w:cs="Calibri"/>
        </w:rPr>
        <w:t xml:space="preserve">investment </w:t>
      </w:r>
      <w:r w:rsidR="054E6C89" w:rsidRPr="4F964F37">
        <w:rPr>
          <w:rFonts w:ascii="Calibri" w:eastAsia="Calibri" w:hAnsi="Calibri" w:cs="Calibri"/>
        </w:rPr>
        <w:t>transactions</w:t>
      </w:r>
      <w:r w:rsidR="47CC723A" w:rsidRPr="4F964F37">
        <w:rPr>
          <w:rFonts w:ascii="Calibri" w:eastAsia="Calibri" w:hAnsi="Calibri" w:cs="Calibri"/>
        </w:rPr>
        <w:t>.</w:t>
      </w:r>
    </w:p>
    <w:p w14:paraId="46110705" w14:textId="663B9FD8" w:rsidR="005A5E9F" w:rsidRDefault="6EB84C45" w:rsidP="629E1BB6">
      <w:pPr>
        <w:pStyle w:val="Heading2"/>
        <w:rPr>
          <w:rFonts w:ascii="Calibri" w:eastAsia="Calibri" w:hAnsi="Calibri" w:cs="Calibri"/>
        </w:rPr>
      </w:pPr>
      <w:bookmarkStart w:id="6" w:name="_Toc83981454"/>
      <w:r>
        <w:t>Budget Administration</w:t>
      </w:r>
      <w:bookmarkEnd w:id="6"/>
    </w:p>
    <w:p w14:paraId="164732D2" w14:textId="16DF5729" w:rsidR="005A5E9F" w:rsidRDefault="7D5280CF" w:rsidP="104E098C">
      <w:pPr>
        <w:rPr>
          <w:color w:val="FF0000"/>
        </w:rPr>
      </w:pPr>
      <w:r>
        <w:t>Each Board member and Committee Chair shall provide an annual budget request for their line of responsibility</w:t>
      </w:r>
      <w:r w:rsidR="41D9CA43">
        <w:t>.</w:t>
      </w:r>
      <w:r>
        <w:t xml:space="preserve"> </w:t>
      </w:r>
      <w:r w:rsidR="6EB84C45">
        <w:t xml:space="preserve">The </w:t>
      </w:r>
      <w:r w:rsidR="79A22008">
        <w:t xml:space="preserve">Executive Committee </w:t>
      </w:r>
      <w:r w:rsidR="6EB84C45">
        <w:t xml:space="preserve">will prepare a draft budget, which will be presented to the Board of Regents for approval. </w:t>
      </w:r>
      <w:r w:rsidR="65C1BF69" w:rsidRPr="104E098C">
        <w:t>The Board of Regents is required to approve the budget prior to the start of the new fiscal year.</w:t>
      </w:r>
    </w:p>
    <w:p w14:paraId="1ACE253F" w14:textId="26A4EDA1" w:rsidR="27C984D3" w:rsidRDefault="27C984D3" w:rsidP="104E098C">
      <w:r>
        <w:t>Specific preapproved budget items under $1,000 do not need to go through a secondary approval process.</w:t>
      </w:r>
      <w:r w:rsidR="2BEF254C">
        <w:t xml:space="preserve"> </w:t>
      </w:r>
      <w:r w:rsidR="1B995E22">
        <w:t xml:space="preserve">Regardless of cost, </w:t>
      </w:r>
      <w:r w:rsidR="2BEF254C">
        <w:t>technology or software request</w:t>
      </w:r>
      <w:r w:rsidR="3A002BDD">
        <w:t>s</w:t>
      </w:r>
      <w:r w:rsidR="2BEF254C">
        <w:t xml:space="preserve"> must go through </w:t>
      </w:r>
      <w:r w:rsidR="72D0389F">
        <w:t xml:space="preserve">the </w:t>
      </w:r>
      <w:r w:rsidR="2BEF254C">
        <w:t>board approval</w:t>
      </w:r>
      <w:r w:rsidR="6A311D39">
        <w:t xml:space="preserve"> process</w:t>
      </w:r>
      <w:r w:rsidR="2BEF254C">
        <w:t>.</w:t>
      </w:r>
    </w:p>
    <w:p w14:paraId="7D603FA3" w14:textId="48A5999E" w:rsidR="00FF6CD8" w:rsidRDefault="00FF6CD8" w:rsidP="267A8DD7">
      <w:pPr>
        <w:pStyle w:val="Heading2"/>
        <w:rPr>
          <w:color w:val="auto"/>
        </w:rPr>
      </w:pPr>
      <w:bookmarkStart w:id="7" w:name="_Toc83981455"/>
      <w:r>
        <w:t>Revenue Recognition</w:t>
      </w:r>
      <w:bookmarkEnd w:id="7"/>
    </w:p>
    <w:p w14:paraId="311F4A23" w14:textId="540AA60B" w:rsidR="00FF6CD8" w:rsidRDefault="009730B1" w:rsidP="00EE7699">
      <w:r>
        <w:t xml:space="preserve">Revenue shall be </w:t>
      </w:r>
      <w:r w:rsidR="59FD2B5F">
        <w:t>recorded</w:t>
      </w:r>
      <w:r>
        <w:t xml:space="preserve"> in the accounting period in which </w:t>
      </w:r>
      <w:r w:rsidR="5FDF8FA1">
        <w:t>it is</w:t>
      </w:r>
      <w:r>
        <w:t xml:space="preserve"> earned and measured. The ICRM’s major revenue categories are:</w:t>
      </w:r>
    </w:p>
    <w:p w14:paraId="50346A29" w14:textId="78057C5B" w:rsidR="009730B1" w:rsidRDefault="009730B1" w:rsidP="009730B1">
      <w:pPr>
        <w:pStyle w:val="ListParagraph"/>
        <w:numPr>
          <w:ilvl w:val="0"/>
          <w:numId w:val="7"/>
        </w:numPr>
      </w:pPr>
      <w:r>
        <w:t xml:space="preserve">Membership Dues:  </w:t>
      </w:r>
      <w:r w:rsidR="00D56C82">
        <w:t xml:space="preserve">Revenues are </w:t>
      </w:r>
      <w:r w:rsidR="3ABD8C7D">
        <w:t>recorded</w:t>
      </w:r>
      <w:r w:rsidR="00D56C82">
        <w:t xml:space="preserve"> </w:t>
      </w:r>
      <w:r w:rsidR="2943F3C5">
        <w:t>by membership year.</w:t>
      </w:r>
    </w:p>
    <w:p w14:paraId="43F713B6" w14:textId="58BCD1B4" w:rsidR="009730B1" w:rsidRDefault="009730B1" w:rsidP="009730B1">
      <w:pPr>
        <w:pStyle w:val="ListParagraph"/>
        <w:numPr>
          <w:ilvl w:val="0"/>
          <w:numId w:val="7"/>
        </w:numPr>
      </w:pPr>
      <w:r>
        <w:t>Workshop</w:t>
      </w:r>
      <w:r w:rsidR="48F04D46">
        <w:t xml:space="preserve"> and Partner</w:t>
      </w:r>
      <w:r>
        <w:t xml:space="preserve"> Income</w:t>
      </w:r>
      <w:r w:rsidR="00D56C82">
        <w:t xml:space="preserve">: Revenues are </w:t>
      </w:r>
      <w:r w:rsidR="05F27F87">
        <w:t>recorded</w:t>
      </w:r>
      <w:r w:rsidR="00D56C82">
        <w:t xml:space="preserve"> when earned, based on </w:t>
      </w:r>
      <w:r w:rsidR="7F799A5C">
        <w:t>receipts and contractual a</w:t>
      </w:r>
      <w:r w:rsidR="3311C28F">
        <w:t>greements.</w:t>
      </w:r>
    </w:p>
    <w:p w14:paraId="25D22BA3" w14:textId="6CFB0FD2" w:rsidR="05169639" w:rsidRDefault="05169639" w:rsidP="267A8DD7">
      <w:pPr>
        <w:pStyle w:val="ListParagraph"/>
        <w:numPr>
          <w:ilvl w:val="0"/>
          <w:numId w:val="7"/>
        </w:numPr>
      </w:pPr>
      <w:r>
        <w:t xml:space="preserve">Exam </w:t>
      </w:r>
      <w:r w:rsidR="4BE94EB6">
        <w:t>Administration Revenue:</w:t>
      </w:r>
      <w:r>
        <w:t xml:space="preserve"> Revenues are recorded when earned, base</w:t>
      </w:r>
      <w:r w:rsidR="1CECC005">
        <w:t>d</w:t>
      </w:r>
      <w:r w:rsidR="6226E72F">
        <w:t xml:space="preserve"> on receipts and contractual agreements.</w:t>
      </w:r>
    </w:p>
    <w:p w14:paraId="12ABD90F" w14:textId="7DEAFA34" w:rsidR="00D56C82" w:rsidRDefault="00D56C82" w:rsidP="009730B1">
      <w:pPr>
        <w:pStyle w:val="ListParagraph"/>
        <w:numPr>
          <w:ilvl w:val="0"/>
          <w:numId w:val="7"/>
        </w:numPr>
      </w:pPr>
      <w:r>
        <w:t>Interest and Dividend Income: Revenues from interest and dividend income from cash and investments.</w:t>
      </w:r>
    </w:p>
    <w:p w14:paraId="3A8D8FE8" w14:textId="0833DFED" w:rsidR="00D56C82" w:rsidRDefault="00D56C82" w:rsidP="009730B1">
      <w:pPr>
        <w:pStyle w:val="ListParagraph"/>
        <w:numPr>
          <w:ilvl w:val="0"/>
          <w:numId w:val="7"/>
        </w:numPr>
      </w:pPr>
      <w:r>
        <w:t>Gain/Loss on sale of assets:  A gain or loss is recognized when an asset is sold or disposed.</w:t>
      </w:r>
    </w:p>
    <w:p w14:paraId="34A77A69" w14:textId="6DCF4D87" w:rsidR="267A8DD7" w:rsidRDefault="0382331F" w:rsidP="0C79D84E">
      <w:pPr>
        <w:pStyle w:val="ListParagraph"/>
        <w:numPr>
          <w:ilvl w:val="0"/>
          <w:numId w:val="7"/>
        </w:numPr>
        <w:rPr>
          <w:rFonts w:eastAsiaTheme="minorEastAsia"/>
        </w:rPr>
      </w:pPr>
      <w:r>
        <w:t>Other Income: Revenues are recorded as earned.</w:t>
      </w:r>
    </w:p>
    <w:p w14:paraId="0ECAC7B9" w14:textId="3026F7DD" w:rsidR="00FF6CD8" w:rsidRDefault="00FF6CD8" w:rsidP="00FF6CD8">
      <w:pPr>
        <w:pStyle w:val="Heading2"/>
      </w:pPr>
      <w:bookmarkStart w:id="8" w:name="_Toc83981456"/>
      <w:r>
        <w:t>Expense Recognition</w:t>
      </w:r>
      <w:bookmarkEnd w:id="8"/>
    </w:p>
    <w:p w14:paraId="260AC5E7" w14:textId="3C3843D4" w:rsidR="00D17D59" w:rsidRDefault="00D17D59" w:rsidP="00D17D59">
      <w:r>
        <w:t xml:space="preserve">Expenses are generally </w:t>
      </w:r>
      <w:r w:rsidR="18A21091">
        <w:t>recorded</w:t>
      </w:r>
      <w:r>
        <w:t xml:space="preserve"> </w:t>
      </w:r>
      <w:r w:rsidR="1E85350E">
        <w:t>when</w:t>
      </w:r>
      <w:r>
        <w:t xml:space="preserve"> incurred</w:t>
      </w:r>
      <w:r w:rsidR="56AD0697">
        <w:t>.</w:t>
      </w:r>
      <w:r>
        <w:t xml:space="preserve"> Exceptions to this general rule include:</w:t>
      </w:r>
    </w:p>
    <w:p w14:paraId="020C2812" w14:textId="55C929D3" w:rsidR="00D17D59" w:rsidRDefault="00D17D59" w:rsidP="00D17D59">
      <w:pPr>
        <w:pStyle w:val="ListParagraph"/>
        <w:numPr>
          <w:ilvl w:val="0"/>
          <w:numId w:val="8"/>
        </w:numPr>
      </w:pPr>
      <w:r>
        <w:t xml:space="preserve">Prepaid Expenses: Expenses are </w:t>
      </w:r>
      <w:r w:rsidR="6BAB8883">
        <w:t>recorded</w:t>
      </w:r>
      <w:r>
        <w:t xml:space="preserve"> </w:t>
      </w:r>
      <w:r w:rsidR="24EBCB72">
        <w:t>when</w:t>
      </w:r>
      <w:r>
        <w:t xml:space="preserve"> used or consumed.</w:t>
      </w:r>
    </w:p>
    <w:p w14:paraId="0D79BC43" w14:textId="4011B2FB" w:rsidR="00FF6CD8" w:rsidRDefault="00D17D59" w:rsidP="00D17D59">
      <w:pPr>
        <w:pStyle w:val="ListParagraph"/>
        <w:numPr>
          <w:ilvl w:val="0"/>
          <w:numId w:val="8"/>
        </w:numPr>
      </w:pPr>
      <w:r>
        <w:t>Capital Assets: Assets are recorded at historical costs and expensed through depreciation over the useful life of the assets.</w:t>
      </w:r>
    </w:p>
    <w:p w14:paraId="0A600450" w14:textId="76807411" w:rsidR="00FF6CD8" w:rsidRDefault="00FF6CD8" w:rsidP="00FF6CD8">
      <w:pPr>
        <w:pStyle w:val="Heading2"/>
      </w:pPr>
      <w:bookmarkStart w:id="9" w:name="_Toc83981457"/>
      <w:r>
        <w:t>Cash Management Policy</w:t>
      </w:r>
      <w:bookmarkEnd w:id="9"/>
    </w:p>
    <w:p w14:paraId="27BDCA05" w14:textId="6F86EEEB" w:rsidR="00FF6CD8" w:rsidRDefault="00A0000A" w:rsidP="00FF6CD8">
      <w:r>
        <w:t>On a monthly basis, the President-Elect/Treasurer shall provide</w:t>
      </w:r>
      <w:r w:rsidR="3DC37F3B">
        <w:t>:</w:t>
      </w:r>
    </w:p>
    <w:p w14:paraId="002CABEA" w14:textId="7BC00487" w:rsidR="00FF6CD8" w:rsidRDefault="0B2B8F17" w:rsidP="0C79D84E">
      <w:pPr>
        <w:pStyle w:val="ListParagraph"/>
        <w:numPr>
          <w:ilvl w:val="0"/>
          <w:numId w:val="2"/>
        </w:numPr>
        <w:rPr>
          <w:rFonts w:eastAsiaTheme="minorEastAsia"/>
        </w:rPr>
      </w:pPr>
      <w:r>
        <w:t>Bank and investment statements</w:t>
      </w:r>
      <w:r w:rsidR="1FDB7F50">
        <w:t>.</w:t>
      </w:r>
    </w:p>
    <w:p w14:paraId="0B5DA0D4" w14:textId="4F944332" w:rsidR="00FF6CD8" w:rsidRDefault="2E7C5167" w:rsidP="267A8DD7">
      <w:pPr>
        <w:pStyle w:val="ListParagraph"/>
        <w:numPr>
          <w:ilvl w:val="0"/>
          <w:numId w:val="2"/>
        </w:numPr>
      </w:pPr>
      <w:r>
        <w:t>C</w:t>
      </w:r>
      <w:r w:rsidR="00A0000A">
        <w:t xml:space="preserve">ash position </w:t>
      </w:r>
      <w:r w:rsidR="5DA089F5">
        <w:t>report</w:t>
      </w:r>
      <w:r w:rsidR="1FDB7F50">
        <w:t>.</w:t>
      </w:r>
    </w:p>
    <w:p w14:paraId="3F3C3D3B" w14:textId="04D3D10B" w:rsidR="00FF6CD8" w:rsidRDefault="5DA089F5" w:rsidP="267A8DD7">
      <w:r>
        <w:t>If</w:t>
      </w:r>
      <w:r w:rsidR="3972AA6E">
        <w:t xml:space="preserve"> the President-Elect/Treasurer finds the ICRM in a potential cash deficiency situation, the Board of Regents must be immediately notified.</w:t>
      </w:r>
    </w:p>
    <w:p w14:paraId="1ECC4CA0" w14:textId="1BDDD39C" w:rsidR="000850B3" w:rsidRDefault="000850B3" w:rsidP="000850B3">
      <w:pPr>
        <w:pStyle w:val="Heading2"/>
      </w:pPr>
      <w:bookmarkStart w:id="10" w:name="_Toc83981458"/>
      <w:r>
        <w:t>Cash Disbursements</w:t>
      </w:r>
      <w:bookmarkEnd w:id="10"/>
    </w:p>
    <w:p w14:paraId="280BCFD4" w14:textId="437778F3" w:rsidR="000850B3" w:rsidRDefault="00E54BA7" w:rsidP="00FF6CD8">
      <w:r>
        <w:t>Direct and necessary expenses</w:t>
      </w:r>
      <w:r w:rsidR="536CDEA0">
        <w:t xml:space="preserve"> to fulfill ICRM responsibilities </w:t>
      </w:r>
      <w:r>
        <w:t xml:space="preserve">shall be reimbursed.  </w:t>
      </w:r>
      <w:r w:rsidR="000850B3">
        <w:t xml:space="preserve">All expenses incurred must be included in the current budget or approved by </w:t>
      </w:r>
      <w:r w:rsidR="02CA10EF">
        <w:t>a member of the Executive Committee</w:t>
      </w:r>
      <w:r w:rsidR="000850B3">
        <w:t xml:space="preserve">.  All expense reimbursement requests must use the </w:t>
      </w:r>
      <w:r w:rsidR="10A4526E">
        <w:t>ICRM Expense Report</w:t>
      </w:r>
      <w:r w:rsidR="000850B3">
        <w:t xml:space="preserve"> and </w:t>
      </w:r>
      <w:r w:rsidR="005A5E9F">
        <w:t xml:space="preserve">be </w:t>
      </w:r>
      <w:r w:rsidR="000850B3">
        <w:t xml:space="preserve">submitted no later than </w:t>
      </w:r>
      <w:r w:rsidR="7682ABF1">
        <w:t xml:space="preserve">60 </w:t>
      </w:r>
      <w:r w:rsidR="000850B3">
        <w:t xml:space="preserve">days </w:t>
      </w:r>
      <w:r w:rsidR="6AFDA006">
        <w:t>from the date</w:t>
      </w:r>
      <w:r w:rsidR="000850B3">
        <w:t xml:space="preserve"> of the expense.</w:t>
      </w:r>
      <w:r w:rsidR="000F415A">
        <w:t xml:space="preserve"> </w:t>
      </w:r>
      <w:r>
        <w:t>Upon</w:t>
      </w:r>
      <w:r w:rsidR="36F1FC52">
        <w:t xml:space="preserve"> </w:t>
      </w:r>
      <w:r>
        <w:t>approval, e</w:t>
      </w:r>
      <w:r w:rsidR="000F415A">
        <w:t xml:space="preserve">xpense reimbursements will be processed </w:t>
      </w:r>
      <w:r w:rsidR="29E236D1">
        <w:t xml:space="preserve">at least </w:t>
      </w:r>
      <w:r w:rsidR="000F415A">
        <w:t xml:space="preserve">monthly </w:t>
      </w:r>
      <w:r>
        <w:t xml:space="preserve">by the </w:t>
      </w:r>
      <w:r w:rsidR="1E8834E0">
        <w:t>ICRM Business Office</w:t>
      </w:r>
      <w:r w:rsidR="000F415A">
        <w:t>.</w:t>
      </w:r>
    </w:p>
    <w:p w14:paraId="3EADD43A" w14:textId="65BB7C7C" w:rsidR="7993D95E" w:rsidRDefault="7105CD70" w:rsidP="4F964F37">
      <w:r>
        <w:t>For specifics on travel reimbursements, s</w:t>
      </w:r>
      <w:r w:rsidR="7993D95E">
        <w:t>ee Travel Reimbursement Procedures.</w:t>
      </w:r>
    </w:p>
    <w:p w14:paraId="58BB1C56" w14:textId="56704FBF" w:rsidR="267A8DD7" w:rsidRDefault="3CF8ADA4" w:rsidP="267A8DD7">
      <w:r>
        <w:t xml:space="preserve">The board may approve up to 5% of ICRM’s net income to benefit the RIM </w:t>
      </w:r>
      <w:r w:rsidR="4F03CFD4">
        <w:t>p</w:t>
      </w:r>
      <w:r>
        <w:t xml:space="preserve">rofession and </w:t>
      </w:r>
      <w:r w:rsidR="7CD99A07">
        <w:t>c</w:t>
      </w:r>
      <w:r>
        <w:t>ommunity.</w:t>
      </w:r>
    </w:p>
    <w:p w14:paraId="0489E2E8" w14:textId="77777777" w:rsidR="000F415A" w:rsidRDefault="000F415A" w:rsidP="000F415A">
      <w:pPr>
        <w:pStyle w:val="Heading2"/>
      </w:pPr>
      <w:bookmarkStart w:id="11" w:name="_Toc83981459"/>
      <w:r>
        <w:t>Records and Information Management</w:t>
      </w:r>
      <w:bookmarkEnd w:id="11"/>
    </w:p>
    <w:p w14:paraId="1585F024" w14:textId="34C17D17" w:rsidR="267A8DD7" w:rsidRDefault="000F415A" w:rsidP="629E1BB6">
      <w:r>
        <w:t xml:space="preserve">All financial records and </w:t>
      </w:r>
      <w:r w:rsidR="4211FB6C">
        <w:t>content</w:t>
      </w:r>
      <w:r>
        <w:t xml:space="preserve"> </w:t>
      </w:r>
      <w:r w:rsidR="48A07883">
        <w:t>will comply with the</w:t>
      </w:r>
      <w:r w:rsidR="27F2EB1C">
        <w:t xml:space="preserve"> requirements of the</w:t>
      </w:r>
      <w:r w:rsidR="48A07883">
        <w:t xml:space="preserve"> ICRM’s Retention Policy</w:t>
      </w:r>
      <w:r>
        <w:t xml:space="preserve">.  </w:t>
      </w:r>
    </w:p>
    <w:p w14:paraId="21E0B15F" w14:textId="77777777" w:rsidR="000F415A" w:rsidRDefault="000F415A" w:rsidP="000F415A">
      <w:pPr>
        <w:pStyle w:val="Heading2"/>
      </w:pPr>
      <w:bookmarkStart w:id="12" w:name="_Toc83981460"/>
      <w:r>
        <w:t>Financial Reports</w:t>
      </w:r>
      <w:bookmarkEnd w:id="12"/>
    </w:p>
    <w:p w14:paraId="0EA91C4D" w14:textId="0D0A6459" w:rsidR="267A8DD7" w:rsidRDefault="000F415A" w:rsidP="629E1BB6">
      <w:r>
        <w:t>The ICRM must be able to produce accurate, current, and complete disclosure of finances and make available to the Board of Regents on a monthly basis</w:t>
      </w:r>
      <w:r w:rsidR="6429E22B">
        <w:t>.</w:t>
      </w:r>
    </w:p>
    <w:p w14:paraId="0D995EF3" w14:textId="02AE78B4" w:rsidR="46726638" w:rsidRDefault="46726638" w:rsidP="629E1BB6">
      <w:pPr>
        <w:pStyle w:val="Heading2"/>
        <w:rPr>
          <w:rFonts w:ascii="Calibri Light" w:eastAsia="Yu Gothic Light" w:hAnsi="Calibri Light" w:cs="Times New Roman"/>
        </w:rPr>
      </w:pPr>
      <w:bookmarkStart w:id="13" w:name="_Toc83981461"/>
      <w:r>
        <w:t>Oversight</w:t>
      </w:r>
      <w:bookmarkEnd w:id="13"/>
    </w:p>
    <w:p w14:paraId="3DC98825" w14:textId="3B59A4EC" w:rsidR="001033DC" w:rsidRDefault="00492389" w:rsidP="00FF6CD8">
      <w:r>
        <w:t>A</w:t>
      </w:r>
      <w:r w:rsidR="46E12EE2">
        <w:t>t least every three years,</w:t>
      </w:r>
      <w:r>
        <w:t xml:space="preserve"> a</w:t>
      </w:r>
      <w:r w:rsidR="6E641B57">
        <w:t xml:space="preserve"> </w:t>
      </w:r>
      <w:r w:rsidR="5B4CF201">
        <w:t>financial process review</w:t>
      </w:r>
      <w:r>
        <w:t xml:space="preserve"> </w:t>
      </w:r>
      <w:r w:rsidR="3DDFC9F9">
        <w:t>sh</w:t>
      </w:r>
      <w:r w:rsidR="499E94DD">
        <w:t>all</w:t>
      </w:r>
      <w:r>
        <w:t xml:space="preserve"> be conducted on all </w:t>
      </w:r>
      <w:r w:rsidR="6C99C14F">
        <w:t xml:space="preserve">ICRM </w:t>
      </w:r>
      <w:r>
        <w:t xml:space="preserve">accounts.  The </w:t>
      </w:r>
      <w:r w:rsidR="70F63D9B">
        <w:t>review</w:t>
      </w:r>
      <w:r>
        <w:t xml:space="preserve"> </w:t>
      </w:r>
      <w:r w:rsidR="377335F5">
        <w:t>wi</w:t>
      </w:r>
      <w:r>
        <w:t>l</w:t>
      </w:r>
      <w:r w:rsidR="377335F5">
        <w:t>l</w:t>
      </w:r>
      <w:r>
        <w:t xml:space="preserve"> be overseen by the Finance </w:t>
      </w:r>
      <w:r w:rsidR="10DE99C6">
        <w:t xml:space="preserve">Advisory </w:t>
      </w:r>
      <w:r>
        <w:t xml:space="preserve">Committee, chaired by the </w:t>
      </w:r>
      <w:r w:rsidR="00EE7699">
        <w:t xml:space="preserve">President-Elect/Treasurer.  The results shall be reported </w:t>
      </w:r>
      <w:r w:rsidR="001033DC">
        <w:t>to</w:t>
      </w:r>
      <w:r w:rsidR="00EE7699">
        <w:t xml:space="preserve"> the Board of Regents.</w:t>
      </w:r>
    </w:p>
    <w:p w14:paraId="4A649C9B" w14:textId="23EFC0DD" w:rsidR="00FF6CD8" w:rsidRDefault="72DDB367" w:rsidP="629E1BB6">
      <w:r>
        <w:t>If deem</w:t>
      </w:r>
      <w:r w:rsidR="18206844">
        <w:t>ed</w:t>
      </w:r>
      <w:r>
        <w:t xml:space="preserve"> necessary, t</w:t>
      </w:r>
      <w:r w:rsidR="001033DC">
        <w:t>he Board may request a financial audit be conducted by a certified, external, independent accounting firm</w:t>
      </w:r>
      <w:r w:rsidR="7F760EBB">
        <w:t>.</w:t>
      </w:r>
    </w:p>
    <w:p w14:paraId="197B8895" w14:textId="0CBD6115" w:rsidR="00FF6CD8" w:rsidRDefault="00FF6CD8" w:rsidP="267A8DD7"/>
    <w:sectPr w:rsidR="00FF6CD8" w:rsidSect="009D7758">
      <w:headerReference w:type="default" r:id="rId17"/>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884DB" w14:textId="77777777" w:rsidR="008A41F7" w:rsidRDefault="008A41F7" w:rsidP="009D7758">
      <w:pPr>
        <w:spacing w:after="0" w:line="240" w:lineRule="auto"/>
      </w:pPr>
      <w:r>
        <w:separator/>
      </w:r>
    </w:p>
  </w:endnote>
  <w:endnote w:type="continuationSeparator" w:id="0">
    <w:p w14:paraId="5D4FC1BC" w14:textId="77777777" w:rsidR="008A41F7" w:rsidRDefault="008A41F7" w:rsidP="009D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C79D84E" w14:paraId="15ED8B6F" w14:textId="77777777" w:rsidTr="0C79D84E">
      <w:tc>
        <w:tcPr>
          <w:tcW w:w="3120" w:type="dxa"/>
        </w:tcPr>
        <w:p w14:paraId="166430AE" w14:textId="37FA8EEB" w:rsidR="0C79D84E" w:rsidRDefault="0C79D84E" w:rsidP="0C79D84E">
          <w:pPr>
            <w:pStyle w:val="Header"/>
            <w:ind w:left="-115"/>
          </w:pPr>
        </w:p>
      </w:tc>
      <w:tc>
        <w:tcPr>
          <w:tcW w:w="3120" w:type="dxa"/>
        </w:tcPr>
        <w:p w14:paraId="78B10189" w14:textId="1CD96B8F" w:rsidR="0C79D84E" w:rsidRDefault="0C79D84E" w:rsidP="0C79D84E">
          <w:pPr>
            <w:pStyle w:val="Header"/>
            <w:jc w:val="center"/>
          </w:pPr>
        </w:p>
      </w:tc>
      <w:tc>
        <w:tcPr>
          <w:tcW w:w="3120" w:type="dxa"/>
        </w:tcPr>
        <w:p w14:paraId="050C5155" w14:textId="1F20E41F" w:rsidR="0C79D84E" w:rsidRDefault="0C79D84E" w:rsidP="0C79D84E">
          <w:pPr>
            <w:pStyle w:val="Header"/>
            <w:ind w:right="-115"/>
            <w:jc w:val="right"/>
          </w:pPr>
        </w:p>
      </w:tc>
    </w:tr>
  </w:tbl>
  <w:p w14:paraId="20DA5204" w14:textId="7425473F" w:rsidR="0C79D84E" w:rsidRDefault="0C79D84E" w:rsidP="0C79D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78F53" w14:textId="2A59B1B2" w:rsidR="009D7758" w:rsidRDefault="00C22938" w:rsidP="00C22938">
    <w:pPr>
      <w:pStyle w:val="Footer"/>
      <w:tabs>
        <w:tab w:val="clear" w:pos="4680"/>
        <w:tab w:val="center" w:pos="4890"/>
      </w:tabs>
    </w:pPr>
    <w:r>
      <w:tab/>
      <w:t xml:space="preserve">-- </w:t>
    </w:r>
    <w:r w:rsidR="000F415A">
      <w:fldChar w:fldCharType="begin"/>
    </w:r>
    <w:r w:rsidR="000F415A">
      <w:instrText xml:space="preserve"> PAGE  \* roman  \* MERGEFORMAT </w:instrText>
    </w:r>
    <w:r w:rsidR="000F415A">
      <w:fldChar w:fldCharType="separate"/>
    </w:r>
    <w:r w:rsidR="00001EE4">
      <w:rPr>
        <w:noProof/>
      </w:rPr>
      <w:t>i</w:t>
    </w:r>
    <w:r w:rsidR="000F415A">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7A0D6" w14:textId="0BCC2A2B" w:rsidR="000F415A" w:rsidRDefault="000F415A">
    <w:pPr>
      <w:pStyle w:val="Footer"/>
    </w:pPr>
    <w:r>
      <w:tab/>
    </w:r>
    <w:r w:rsidR="00C22938">
      <w:t xml:space="preserve">Page </w:t>
    </w:r>
    <w:r>
      <w:fldChar w:fldCharType="begin"/>
    </w:r>
    <w:r>
      <w:instrText xml:space="preserve"> PAGE  \* Arabic  \* MERGEFORMAT </w:instrText>
    </w:r>
    <w:r>
      <w:fldChar w:fldCharType="separate"/>
    </w:r>
    <w:r w:rsidR="00001EE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70513" w14:textId="77777777" w:rsidR="008A41F7" w:rsidRDefault="008A41F7" w:rsidP="009D7758">
      <w:pPr>
        <w:spacing w:after="0" w:line="240" w:lineRule="auto"/>
      </w:pPr>
      <w:r>
        <w:separator/>
      </w:r>
    </w:p>
  </w:footnote>
  <w:footnote w:type="continuationSeparator" w:id="0">
    <w:p w14:paraId="1C521EE9" w14:textId="77777777" w:rsidR="008A41F7" w:rsidRDefault="008A41F7" w:rsidP="009D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C79D84E" w14:paraId="3AAFDDE2" w14:textId="77777777" w:rsidTr="0C79D84E">
      <w:tc>
        <w:tcPr>
          <w:tcW w:w="3120" w:type="dxa"/>
        </w:tcPr>
        <w:p w14:paraId="5E5BE4AA" w14:textId="35830B24" w:rsidR="0C79D84E" w:rsidRDefault="0C79D84E" w:rsidP="0C79D84E">
          <w:pPr>
            <w:pStyle w:val="Header"/>
            <w:ind w:left="-115"/>
          </w:pPr>
        </w:p>
      </w:tc>
      <w:tc>
        <w:tcPr>
          <w:tcW w:w="3120" w:type="dxa"/>
        </w:tcPr>
        <w:p w14:paraId="20BE5A01" w14:textId="3315D5FC" w:rsidR="0C79D84E" w:rsidRDefault="0C79D84E" w:rsidP="0C79D84E">
          <w:pPr>
            <w:pStyle w:val="Header"/>
            <w:jc w:val="center"/>
          </w:pPr>
        </w:p>
      </w:tc>
      <w:tc>
        <w:tcPr>
          <w:tcW w:w="3120" w:type="dxa"/>
        </w:tcPr>
        <w:p w14:paraId="49DA352D" w14:textId="138E3510" w:rsidR="0C79D84E" w:rsidRDefault="0C79D84E" w:rsidP="0C79D84E">
          <w:pPr>
            <w:pStyle w:val="Header"/>
            <w:ind w:right="-115"/>
            <w:jc w:val="right"/>
          </w:pPr>
        </w:p>
      </w:tc>
    </w:tr>
  </w:tbl>
  <w:p w14:paraId="4F4A5F25" w14:textId="7AE73519" w:rsidR="0C79D84E" w:rsidRDefault="0C79D84E" w:rsidP="0C79D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05AE4" w14:textId="5EB46EA5" w:rsidR="00677915" w:rsidRDefault="00597CFE" w:rsidP="00724EAB">
    <w:r>
      <w:rPr>
        <w:noProof/>
      </w:rPr>
      <w:drawing>
        <wp:anchor distT="0" distB="0" distL="114300" distR="114300" simplePos="0" relativeHeight="251658240" behindDoc="1" locked="0" layoutInCell="1" allowOverlap="1" wp14:anchorId="08B09FE8" wp14:editId="21B01880">
          <wp:simplePos x="0" y="0"/>
          <wp:positionH relativeFrom="column">
            <wp:posOffset>0</wp:posOffset>
          </wp:positionH>
          <wp:positionV relativeFrom="paragraph">
            <wp:posOffset>-114300</wp:posOffset>
          </wp:positionV>
          <wp:extent cx="758952" cy="384048"/>
          <wp:effectExtent l="0" t="0" r="3175" b="0"/>
          <wp:wrapTight wrapText="bothSides">
            <wp:wrapPolygon edited="0">
              <wp:start x="0" y="0"/>
              <wp:lineTo x="0" y="20384"/>
              <wp:lineTo x="21148" y="20384"/>
              <wp:lineTo x="211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8952" cy="384048"/>
                  </a:xfrm>
                  <a:prstGeom prst="rect">
                    <a:avLst/>
                  </a:prstGeom>
                </pic:spPr>
              </pic:pic>
            </a:graphicData>
          </a:graphic>
          <wp14:sizeRelH relativeFrom="margin">
            <wp14:pctWidth>0</wp14:pctWidth>
          </wp14:sizeRelH>
          <wp14:sizeRelV relativeFrom="margin">
            <wp14:pctHeight>0</wp14:pctHeight>
          </wp14:sizeRelV>
        </wp:anchor>
      </w:drawing>
    </w:r>
    <w:r>
      <w:tab/>
    </w:r>
    <w:r w:rsidR="0C79D84E">
      <w:t>ICRM Financial Management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F546D" w14:textId="0346AC60" w:rsidR="009D7758" w:rsidRPr="00724EAB" w:rsidRDefault="00597CFE" w:rsidP="00597CFE">
    <w:pPr>
      <w:pStyle w:val="Header"/>
      <w:tabs>
        <w:tab w:val="clear" w:pos="9360"/>
        <w:tab w:val="right" w:pos="9180"/>
      </w:tabs>
      <w:rPr>
        <w:u w:val="single"/>
      </w:rPr>
    </w:pPr>
    <w:r>
      <w:rPr>
        <w:noProof/>
      </w:rPr>
      <w:drawing>
        <wp:anchor distT="0" distB="0" distL="114300" distR="114300" simplePos="0" relativeHeight="251659264" behindDoc="1" locked="0" layoutInCell="1" allowOverlap="1" wp14:anchorId="26E185AB" wp14:editId="7DB6E96B">
          <wp:simplePos x="0" y="0"/>
          <wp:positionH relativeFrom="column">
            <wp:posOffset>0</wp:posOffset>
          </wp:positionH>
          <wp:positionV relativeFrom="paragraph">
            <wp:posOffset>-120650</wp:posOffset>
          </wp:positionV>
          <wp:extent cx="939800" cy="479649"/>
          <wp:effectExtent l="0" t="0" r="0" b="0"/>
          <wp:wrapTight wrapText="bothSides">
            <wp:wrapPolygon edited="0">
              <wp:start x="0" y="0"/>
              <wp:lineTo x="0" y="20599"/>
              <wp:lineTo x="21016" y="20599"/>
              <wp:lineTo x="210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479649"/>
                  </a:xfrm>
                  <a:prstGeom prst="rect">
                    <a:avLst/>
                  </a:prstGeom>
                </pic:spPr>
              </pic:pic>
            </a:graphicData>
          </a:graphic>
        </wp:anchor>
      </w:drawing>
    </w:r>
    <w:r>
      <w:rPr>
        <w:u w:val="single"/>
      </w:rPr>
      <w:t xml:space="preserve">  </w:t>
    </w:r>
    <w:r w:rsidR="009D7758" w:rsidRPr="00724EAB">
      <w:rPr>
        <w:u w:val="single"/>
      </w:rPr>
      <w:t xml:space="preserve">ICRM </w:t>
    </w:r>
    <w:r w:rsidR="000D45EC">
      <w:rPr>
        <w:u w:val="single"/>
      </w:rPr>
      <w:t xml:space="preserve">Financial Management </w:t>
    </w:r>
    <w:r w:rsidR="009D7758" w:rsidRPr="00724EAB">
      <w:rPr>
        <w:u w:val="single"/>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E3B"/>
    <w:multiLevelType w:val="hybridMultilevel"/>
    <w:tmpl w:val="FFFFFFFF"/>
    <w:lvl w:ilvl="0" w:tplc="08088DD8">
      <w:start w:val="1"/>
      <w:numFmt w:val="decimal"/>
      <w:lvlText w:val="%1."/>
      <w:lvlJc w:val="left"/>
      <w:pPr>
        <w:ind w:left="720" w:hanging="360"/>
      </w:pPr>
    </w:lvl>
    <w:lvl w:ilvl="1" w:tplc="2016731C">
      <w:start w:val="1"/>
      <w:numFmt w:val="lowerLetter"/>
      <w:lvlText w:val="%2."/>
      <w:lvlJc w:val="left"/>
      <w:pPr>
        <w:ind w:left="1440" w:hanging="360"/>
      </w:pPr>
    </w:lvl>
    <w:lvl w:ilvl="2" w:tplc="5B9A7934">
      <w:start w:val="1"/>
      <w:numFmt w:val="lowerRoman"/>
      <w:lvlText w:val="%3."/>
      <w:lvlJc w:val="right"/>
      <w:pPr>
        <w:ind w:left="2160" w:hanging="180"/>
      </w:pPr>
    </w:lvl>
    <w:lvl w:ilvl="3" w:tplc="49C44CAC">
      <w:start w:val="1"/>
      <w:numFmt w:val="decimal"/>
      <w:lvlText w:val="%4."/>
      <w:lvlJc w:val="left"/>
      <w:pPr>
        <w:ind w:left="2880" w:hanging="360"/>
      </w:pPr>
    </w:lvl>
    <w:lvl w:ilvl="4" w:tplc="DC3EDDB4">
      <w:start w:val="1"/>
      <w:numFmt w:val="lowerLetter"/>
      <w:lvlText w:val="%5."/>
      <w:lvlJc w:val="left"/>
      <w:pPr>
        <w:ind w:left="3600" w:hanging="360"/>
      </w:pPr>
    </w:lvl>
    <w:lvl w:ilvl="5" w:tplc="C156ACC0">
      <w:start w:val="1"/>
      <w:numFmt w:val="lowerRoman"/>
      <w:lvlText w:val="%6."/>
      <w:lvlJc w:val="right"/>
      <w:pPr>
        <w:ind w:left="4320" w:hanging="180"/>
      </w:pPr>
    </w:lvl>
    <w:lvl w:ilvl="6" w:tplc="D93681AA">
      <w:start w:val="1"/>
      <w:numFmt w:val="decimal"/>
      <w:lvlText w:val="%7."/>
      <w:lvlJc w:val="left"/>
      <w:pPr>
        <w:ind w:left="5040" w:hanging="360"/>
      </w:pPr>
    </w:lvl>
    <w:lvl w:ilvl="7" w:tplc="C644A566">
      <w:start w:val="1"/>
      <w:numFmt w:val="lowerLetter"/>
      <w:lvlText w:val="%8."/>
      <w:lvlJc w:val="left"/>
      <w:pPr>
        <w:ind w:left="5760" w:hanging="360"/>
      </w:pPr>
    </w:lvl>
    <w:lvl w:ilvl="8" w:tplc="DE54F08E">
      <w:start w:val="1"/>
      <w:numFmt w:val="lowerRoman"/>
      <w:lvlText w:val="%9."/>
      <w:lvlJc w:val="right"/>
      <w:pPr>
        <w:ind w:left="6480" w:hanging="180"/>
      </w:pPr>
    </w:lvl>
  </w:abstractNum>
  <w:abstractNum w:abstractNumId="1" w15:restartNumberingAfterBreak="0">
    <w:nsid w:val="075C008F"/>
    <w:multiLevelType w:val="hybridMultilevel"/>
    <w:tmpl w:val="283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D5DA1"/>
    <w:multiLevelType w:val="hybridMultilevel"/>
    <w:tmpl w:val="FFFFFFFF"/>
    <w:lvl w:ilvl="0" w:tplc="FFFFFFFF">
      <w:start w:val="1"/>
      <w:numFmt w:val="bullet"/>
      <w:lvlText w:val=""/>
      <w:lvlJc w:val="left"/>
      <w:pPr>
        <w:ind w:left="720" w:hanging="360"/>
      </w:pPr>
    </w:lvl>
    <w:lvl w:ilvl="1" w:tplc="D6B22C4C">
      <w:start w:val="1"/>
      <w:numFmt w:val="lowerLetter"/>
      <w:lvlText w:val="%2."/>
      <w:lvlJc w:val="left"/>
      <w:pPr>
        <w:ind w:left="1440" w:hanging="360"/>
      </w:pPr>
    </w:lvl>
    <w:lvl w:ilvl="2" w:tplc="C882C81A">
      <w:start w:val="1"/>
      <w:numFmt w:val="lowerRoman"/>
      <w:lvlText w:val="%3."/>
      <w:lvlJc w:val="right"/>
      <w:pPr>
        <w:ind w:left="2160" w:hanging="180"/>
      </w:pPr>
    </w:lvl>
    <w:lvl w:ilvl="3" w:tplc="32BCBA58">
      <w:start w:val="1"/>
      <w:numFmt w:val="decimal"/>
      <w:lvlText w:val="%4."/>
      <w:lvlJc w:val="left"/>
      <w:pPr>
        <w:ind w:left="2880" w:hanging="360"/>
      </w:pPr>
    </w:lvl>
    <w:lvl w:ilvl="4" w:tplc="7B8C3C26">
      <w:start w:val="1"/>
      <w:numFmt w:val="lowerLetter"/>
      <w:lvlText w:val="%5."/>
      <w:lvlJc w:val="left"/>
      <w:pPr>
        <w:ind w:left="3600" w:hanging="360"/>
      </w:pPr>
    </w:lvl>
    <w:lvl w:ilvl="5" w:tplc="01AEF286">
      <w:start w:val="1"/>
      <w:numFmt w:val="lowerRoman"/>
      <w:lvlText w:val="%6."/>
      <w:lvlJc w:val="right"/>
      <w:pPr>
        <w:ind w:left="4320" w:hanging="180"/>
      </w:pPr>
    </w:lvl>
    <w:lvl w:ilvl="6" w:tplc="B0AC556A">
      <w:start w:val="1"/>
      <w:numFmt w:val="decimal"/>
      <w:lvlText w:val="%7."/>
      <w:lvlJc w:val="left"/>
      <w:pPr>
        <w:ind w:left="5040" w:hanging="360"/>
      </w:pPr>
    </w:lvl>
    <w:lvl w:ilvl="7" w:tplc="56EADA28">
      <w:start w:val="1"/>
      <w:numFmt w:val="lowerLetter"/>
      <w:lvlText w:val="%8."/>
      <w:lvlJc w:val="left"/>
      <w:pPr>
        <w:ind w:left="5760" w:hanging="360"/>
      </w:pPr>
    </w:lvl>
    <w:lvl w:ilvl="8" w:tplc="EDD804BC">
      <w:start w:val="1"/>
      <w:numFmt w:val="lowerRoman"/>
      <w:lvlText w:val="%9."/>
      <w:lvlJc w:val="right"/>
      <w:pPr>
        <w:ind w:left="6480" w:hanging="180"/>
      </w:pPr>
    </w:lvl>
  </w:abstractNum>
  <w:abstractNum w:abstractNumId="3" w15:restartNumberingAfterBreak="0">
    <w:nsid w:val="20243492"/>
    <w:multiLevelType w:val="hybridMultilevel"/>
    <w:tmpl w:val="1A5CACA6"/>
    <w:lvl w:ilvl="0" w:tplc="37E6DC6E">
      <w:start w:val="1"/>
      <w:numFmt w:val="bullet"/>
      <w:lvlText w:val=""/>
      <w:lvlJc w:val="left"/>
      <w:pPr>
        <w:ind w:left="4890" w:hanging="360"/>
      </w:pPr>
      <w:rPr>
        <w:rFonts w:ascii="Wingdings" w:eastAsiaTheme="minorHAnsi" w:hAnsi="Wingdings" w:cstheme="minorBidi"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4" w15:restartNumberingAfterBreak="0">
    <w:nsid w:val="25AA13D2"/>
    <w:multiLevelType w:val="hybridMultilevel"/>
    <w:tmpl w:val="3DB8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D7DAB"/>
    <w:multiLevelType w:val="hybridMultilevel"/>
    <w:tmpl w:val="CF3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1798E"/>
    <w:multiLevelType w:val="hybridMultilevel"/>
    <w:tmpl w:val="27DA304C"/>
    <w:lvl w:ilvl="0" w:tplc="0656617C">
      <w:numFmt w:val="bullet"/>
      <w:lvlText w:val="-"/>
      <w:lvlJc w:val="left"/>
      <w:pPr>
        <w:ind w:left="4980" w:hanging="360"/>
      </w:pPr>
      <w:rPr>
        <w:rFonts w:ascii="Calibri" w:eastAsiaTheme="minorHAnsi" w:hAnsi="Calibri" w:cs="Calibri"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7" w15:restartNumberingAfterBreak="0">
    <w:nsid w:val="55B7099A"/>
    <w:multiLevelType w:val="hybridMultilevel"/>
    <w:tmpl w:val="281A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D649A"/>
    <w:multiLevelType w:val="hybridMultilevel"/>
    <w:tmpl w:val="FFFFFFFF"/>
    <w:lvl w:ilvl="0" w:tplc="623AD3C2">
      <w:start w:val="1"/>
      <w:numFmt w:val="bullet"/>
      <w:lvlText w:val=""/>
      <w:lvlJc w:val="left"/>
      <w:pPr>
        <w:ind w:left="720" w:hanging="360"/>
      </w:pPr>
      <w:rPr>
        <w:rFonts w:ascii="Symbol" w:hAnsi="Symbol" w:hint="default"/>
      </w:rPr>
    </w:lvl>
    <w:lvl w:ilvl="1" w:tplc="51B86878">
      <w:start w:val="1"/>
      <w:numFmt w:val="bullet"/>
      <w:lvlText w:val="o"/>
      <w:lvlJc w:val="left"/>
      <w:pPr>
        <w:ind w:left="1440" w:hanging="360"/>
      </w:pPr>
      <w:rPr>
        <w:rFonts w:ascii="Courier New" w:hAnsi="Courier New" w:hint="default"/>
      </w:rPr>
    </w:lvl>
    <w:lvl w:ilvl="2" w:tplc="3E98AD9A">
      <w:start w:val="1"/>
      <w:numFmt w:val="bullet"/>
      <w:lvlText w:val=""/>
      <w:lvlJc w:val="left"/>
      <w:pPr>
        <w:ind w:left="2160" w:hanging="360"/>
      </w:pPr>
      <w:rPr>
        <w:rFonts w:ascii="Wingdings" w:hAnsi="Wingdings" w:hint="default"/>
      </w:rPr>
    </w:lvl>
    <w:lvl w:ilvl="3" w:tplc="81B68AD2">
      <w:start w:val="1"/>
      <w:numFmt w:val="bullet"/>
      <w:lvlText w:val=""/>
      <w:lvlJc w:val="left"/>
      <w:pPr>
        <w:ind w:left="2880" w:hanging="360"/>
      </w:pPr>
      <w:rPr>
        <w:rFonts w:ascii="Symbol" w:hAnsi="Symbol" w:hint="default"/>
      </w:rPr>
    </w:lvl>
    <w:lvl w:ilvl="4" w:tplc="42727B6E">
      <w:start w:val="1"/>
      <w:numFmt w:val="bullet"/>
      <w:lvlText w:val="o"/>
      <w:lvlJc w:val="left"/>
      <w:pPr>
        <w:ind w:left="3600" w:hanging="360"/>
      </w:pPr>
      <w:rPr>
        <w:rFonts w:ascii="Courier New" w:hAnsi="Courier New" w:hint="default"/>
      </w:rPr>
    </w:lvl>
    <w:lvl w:ilvl="5" w:tplc="BE9AA968">
      <w:start w:val="1"/>
      <w:numFmt w:val="bullet"/>
      <w:lvlText w:val=""/>
      <w:lvlJc w:val="left"/>
      <w:pPr>
        <w:ind w:left="4320" w:hanging="360"/>
      </w:pPr>
      <w:rPr>
        <w:rFonts w:ascii="Wingdings" w:hAnsi="Wingdings" w:hint="default"/>
      </w:rPr>
    </w:lvl>
    <w:lvl w:ilvl="6" w:tplc="AE5C9D86">
      <w:start w:val="1"/>
      <w:numFmt w:val="bullet"/>
      <w:lvlText w:val=""/>
      <w:lvlJc w:val="left"/>
      <w:pPr>
        <w:ind w:left="5040" w:hanging="360"/>
      </w:pPr>
      <w:rPr>
        <w:rFonts w:ascii="Symbol" w:hAnsi="Symbol" w:hint="default"/>
      </w:rPr>
    </w:lvl>
    <w:lvl w:ilvl="7" w:tplc="AEE0661C">
      <w:start w:val="1"/>
      <w:numFmt w:val="bullet"/>
      <w:lvlText w:val="o"/>
      <w:lvlJc w:val="left"/>
      <w:pPr>
        <w:ind w:left="5760" w:hanging="360"/>
      </w:pPr>
      <w:rPr>
        <w:rFonts w:ascii="Courier New" w:hAnsi="Courier New" w:hint="default"/>
      </w:rPr>
    </w:lvl>
    <w:lvl w:ilvl="8" w:tplc="C52E2536">
      <w:start w:val="1"/>
      <w:numFmt w:val="bullet"/>
      <w:lvlText w:val=""/>
      <w:lvlJc w:val="left"/>
      <w:pPr>
        <w:ind w:left="6480" w:hanging="360"/>
      </w:pPr>
      <w:rPr>
        <w:rFonts w:ascii="Wingdings" w:hAnsi="Wingdings" w:hint="default"/>
      </w:rPr>
    </w:lvl>
  </w:abstractNum>
  <w:abstractNum w:abstractNumId="9" w15:restartNumberingAfterBreak="0">
    <w:nsid w:val="6D455027"/>
    <w:multiLevelType w:val="hybridMultilevel"/>
    <w:tmpl w:val="FFFFFFFF"/>
    <w:lvl w:ilvl="0" w:tplc="55A28966">
      <w:start w:val="1"/>
      <w:numFmt w:val="bullet"/>
      <w:lvlText w:val=""/>
      <w:lvlJc w:val="left"/>
      <w:pPr>
        <w:ind w:left="720" w:hanging="360"/>
      </w:pPr>
      <w:rPr>
        <w:rFonts w:ascii="Symbol" w:hAnsi="Symbol" w:hint="default"/>
      </w:rPr>
    </w:lvl>
    <w:lvl w:ilvl="1" w:tplc="8EA4B066">
      <w:start w:val="1"/>
      <w:numFmt w:val="bullet"/>
      <w:lvlText w:val="o"/>
      <w:lvlJc w:val="left"/>
      <w:pPr>
        <w:ind w:left="1440" w:hanging="360"/>
      </w:pPr>
      <w:rPr>
        <w:rFonts w:ascii="Courier New" w:hAnsi="Courier New" w:hint="default"/>
      </w:rPr>
    </w:lvl>
    <w:lvl w:ilvl="2" w:tplc="EE503A72">
      <w:start w:val="1"/>
      <w:numFmt w:val="bullet"/>
      <w:lvlText w:val=""/>
      <w:lvlJc w:val="left"/>
      <w:pPr>
        <w:ind w:left="2160" w:hanging="360"/>
      </w:pPr>
      <w:rPr>
        <w:rFonts w:ascii="Wingdings" w:hAnsi="Wingdings" w:hint="default"/>
      </w:rPr>
    </w:lvl>
    <w:lvl w:ilvl="3" w:tplc="7422DB8E">
      <w:start w:val="1"/>
      <w:numFmt w:val="bullet"/>
      <w:lvlText w:val=""/>
      <w:lvlJc w:val="left"/>
      <w:pPr>
        <w:ind w:left="2880" w:hanging="360"/>
      </w:pPr>
      <w:rPr>
        <w:rFonts w:ascii="Symbol" w:hAnsi="Symbol" w:hint="default"/>
      </w:rPr>
    </w:lvl>
    <w:lvl w:ilvl="4" w:tplc="7F264BF6">
      <w:start w:val="1"/>
      <w:numFmt w:val="bullet"/>
      <w:lvlText w:val="o"/>
      <w:lvlJc w:val="left"/>
      <w:pPr>
        <w:ind w:left="3600" w:hanging="360"/>
      </w:pPr>
      <w:rPr>
        <w:rFonts w:ascii="Courier New" w:hAnsi="Courier New" w:hint="default"/>
      </w:rPr>
    </w:lvl>
    <w:lvl w:ilvl="5" w:tplc="6CBA976A">
      <w:start w:val="1"/>
      <w:numFmt w:val="bullet"/>
      <w:lvlText w:val=""/>
      <w:lvlJc w:val="left"/>
      <w:pPr>
        <w:ind w:left="4320" w:hanging="360"/>
      </w:pPr>
      <w:rPr>
        <w:rFonts w:ascii="Wingdings" w:hAnsi="Wingdings" w:hint="default"/>
      </w:rPr>
    </w:lvl>
    <w:lvl w:ilvl="6" w:tplc="34B6BB5C">
      <w:start w:val="1"/>
      <w:numFmt w:val="bullet"/>
      <w:lvlText w:val=""/>
      <w:lvlJc w:val="left"/>
      <w:pPr>
        <w:ind w:left="5040" w:hanging="360"/>
      </w:pPr>
      <w:rPr>
        <w:rFonts w:ascii="Symbol" w:hAnsi="Symbol" w:hint="default"/>
      </w:rPr>
    </w:lvl>
    <w:lvl w:ilvl="7" w:tplc="5F2E06B2">
      <w:start w:val="1"/>
      <w:numFmt w:val="bullet"/>
      <w:lvlText w:val="o"/>
      <w:lvlJc w:val="left"/>
      <w:pPr>
        <w:ind w:left="5760" w:hanging="360"/>
      </w:pPr>
      <w:rPr>
        <w:rFonts w:ascii="Courier New" w:hAnsi="Courier New" w:hint="default"/>
      </w:rPr>
    </w:lvl>
    <w:lvl w:ilvl="8" w:tplc="4C4A4BB0">
      <w:start w:val="1"/>
      <w:numFmt w:val="bullet"/>
      <w:lvlText w:val=""/>
      <w:lvlJc w:val="left"/>
      <w:pPr>
        <w:ind w:left="6480" w:hanging="360"/>
      </w:pPr>
      <w:rPr>
        <w:rFonts w:ascii="Wingdings" w:hAnsi="Wingdings" w:hint="default"/>
      </w:rPr>
    </w:lvl>
  </w:abstractNum>
  <w:abstractNum w:abstractNumId="10" w15:restartNumberingAfterBreak="0">
    <w:nsid w:val="73DE6B7C"/>
    <w:multiLevelType w:val="hybridMultilevel"/>
    <w:tmpl w:val="FFFFFFFF"/>
    <w:lvl w:ilvl="0" w:tplc="FFFFFFFF">
      <w:start w:val="1"/>
      <w:numFmt w:val="decimal"/>
      <w:lvlText w:val="%1."/>
      <w:lvlJc w:val="left"/>
      <w:pPr>
        <w:ind w:left="720" w:hanging="360"/>
      </w:pPr>
    </w:lvl>
    <w:lvl w:ilvl="1" w:tplc="FE161FA2">
      <w:start w:val="1"/>
      <w:numFmt w:val="lowerLetter"/>
      <w:lvlText w:val="%2."/>
      <w:lvlJc w:val="left"/>
      <w:pPr>
        <w:ind w:left="1440" w:hanging="360"/>
      </w:pPr>
    </w:lvl>
    <w:lvl w:ilvl="2" w:tplc="09F68BEC">
      <w:start w:val="1"/>
      <w:numFmt w:val="lowerRoman"/>
      <w:lvlText w:val="%3."/>
      <w:lvlJc w:val="right"/>
      <w:pPr>
        <w:ind w:left="2160" w:hanging="180"/>
      </w:pPr>
    </w:lvl>
    <w:lvl w:ilvl="3" w:tplc="675A6540">
      <w:start w:val="1"/>
      <w:numFmt w:val="decimal"/>
      <w:lvlText w:val="%4."/>
      <w:lvlJc w:val="left"/>
      <w:pPr>
        <w:ind w:left="2880" w:hanging="360"/>
      </w:pPr>
    </w:lvl>
    <w:lvl w:ilvl="4" w:tplc="C6508DC6">
      <w:start w:val="1"/>
      <w:numFmt w:val="lowerLetter"/>
      <w:lvlText w:val="%5."/>
      <w:lvlJc w:val="left"/>
      <w:pPr>
        <w:ind w:left="3600" w:hanging="360"/>
      </w:pPr>
    </w:lvl>
    <w:lvl w:ilvl="5" w:tplc="90269CE2">
      <w:start w:val="1"/>
      <w:numFmt w:val="lowerRoman"/>
      <w:lvlText w:val="%6."/>
      <w:lvlJc w:val="right"/>
      <w:pPr>
        <w:ind w:left="4320" w:hanging="180"/>
      </w:pPr>
    </w:lvl>
    <w:lvl w:ilvl="6" w:tplc="1BEA5DDC">
      <w:start w:val="1"/>
      <w:numFmt w:val="decimal"/>
      <w:lvlText w:val="%7."/>
      <w:lvlJc w:val="left"/>
      <w:pPr>
        <w:ind w:left="5040" w:hanging="360"/>
      </w:pPr>
    </w:lvl>
    <w:lvl w:ilvl="7" w:tplc="206E8CC6">
      <w:start w:val="1"/>
      <w:numFmt w:val="lowerLetter"/>
      <w:lvlText w:val="%8."/>
      <w:lvlJc w:val="left"/>
      <w:pPr>
        <w:ind w:left="5760" w:hanging="360"/>
      </w:pPr>
    </w:lvl>
    <w:lvl w:ilvl="8" w:tplc="1F382612">
      <w:start w:val="1"/>
      <w:numFmt w:val="lowerRoman"/>
      <w:lvlText w:val="%9."/>
      <w:lvlJc w:val="right"/>
      <w:pPr>
        <w:ind w:left="6480" w:hanging="180"/>
      </w:pPr>
    </w:lvl>
  </w:abstractNum>
  <w:abstractNum w:abstractNumId="11" w15:restartNumberingAfterBreak="0">
    <w:nsid w:val="7D377CA1"/>
    <w:multiLevelType w:val="hybridMultilevel"/>
    <w:tmpl w:val="0760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10"/>
  </w:num>
  <w:num w:numId="5">
    <w:abstractNumId w:val="0"/>
  </w:num>
  <w:num w:numId="6">
    <w:abstractNumId w:val="4"/>
  </w:num>
  <w:num w:numId="7">
    <w:abstractNumId w:val="5"/>
  </w:num>
  <w:num w:numId="8">
    <w:abstractNumId w:val="11"/>
  </w:num>
  <w:num w:numId="9">
    <w:abstractNumId w:val="1"/>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D8"/>
    <w:rsid w:val="00001EE4"/>
    <w:rsid w:val="000850B3"/>
    <w:rsid w:val="000B0D59"/>
    <w:rsid w:val="000D45EC"/>
    <w:rsid w:val="000F415A"/>
    <w:rsid w:val="00101CD1"/>
    <w:rsid w:val="001033DC"/>
    <w:rsid w:val="00143950"/>
    <w:rsid w:val="00244AC6"/>
    <w:rsid w:val="00264B78"/>
    <w:rsid w:val="00281973"/>
    <w:rsid w:val="002857ED"/>
    <w:rsid w:val="002E32F7"/>
    <w:rsid w:val="00345B29"/>
    <w:rsid w:val="003858C1"/>
    <w:rsid w:val="003C5DDC"/>
    <w:rsid w:val="0042439F"/>
    <w:rsid w:val="00430666"/>
    <w:rsid w:val="0043765E"/>
    <w:rsid w:val="00492389"/>
    <w:rsid w:val="004D42D2"/>
    <w:rsid w:val="004E1936"/>
    <w:rsid w:val="00500EE1"/>
    <w:rsid w:val="00597CFE"/>
    <w:rsid w:val="005A5E9F"/>
    <w:rsid w:val="005D31CB"/>
    <w:rsid w:val="00615044"/>
    <w:rsid w:val="0063002C"/>
    <w:rsid w:val="00642BAC"/>
    <w:rsid w:val="006542C2"/>
    <w:rsid w:val="00677915"/>
    <w:rsid w:val="0069789E"/>
    <w:rsid w:val="006C2FB9"/>
    <w:rsid w:val="00709F0A"/>
    <w:rsid w:val="00724EAB"/>
    <w:rsid w:val="0075432A"/>
    <w:rsid w:val="007F1202"/>
    <w:rsid w:val="00827160"/>
    <w:rsid w:val="008A41F7"/>
    <w:rsid w:val="008E13DB"/>
    <w:rsid w:val="00917AEE"/>
    <w:rsid w:val="009730B1"/>
    <w:rsid w:val="009D0BB9"/>
    <w:rsid w:val="009D7758"/>
    <w:rsid w:val="00A0000A"/>
    <w:rsid w:val="00AD09F4"/>
    <w:rsid w:val="00AE245D"/>
    <w:rsid w:val="00B31E72"/>
    <w:rsid w:val="00BD7C78"/>
    <w:rsid w:val="00C22938"/>
    <w:rsid w:val="00C61F66"/>
    <w:rsid w:val="00C87ED7"/>
    <w:rsid w:val="00D17D59"/>
    <w:rsid w:val="00D56C82"/>
    <w:rsid w:val="00DB3C19"/>
    <w:rsid w:val="00E54BA7"/>
    <w:rsid w:val="00E827E8"/>
    <w:rsid w:val="00EC1775"/>
    <w:rsid w:val="00EE7699"/>
    <w:rsid w:val="00FF6CD8"/>
    <w:rsid w:val="016DDD1D"/>
    <w:rsid w:val="01744D50"/>
    <w:rsid w:val="019DEA6C"/>
    <w:rsid w:val="01D02B8A"/>
    <w:rsid w:val="02258888"/>
    <w:rsid w:val="0230AF5B"/>
    <w:rsid w:val="02541DBB"/>
    <w:rsid w:val="02CA10EF"/>
    <w:rsid w:val="02DC38E1"/>
    <w:rsid w:val="02F87ABA"/>
    <w:rsid w:val="0382331F"/>
    <w:rsid w:val="03E6A885"/>
    <w:rsid w:val="048F9820"/>
    <w:rsid w:val="05169639"/>
    <w:rsid w:val="054E6C89"/>
    <w:rsid w:val="05CCC0BD"/>
    <w:rsid w:val="05F27F87"/>
    <w:rsid w:val="0615E591"/>
    <w:rsid w:val="07100918"/>
    <w:rsid w:val="07399F37"/>
    <w:rsid w:val="0768911E"/>
    <w:rsid w:val="08BE9D23"/>
    <w:rsid w:val="08CA3E6E"/>
    <w:rsid w:val="0904617F"/>
    <w:rsid w:val="09B75E4D"/>
    <w:rsid w:val="09D5E09A"/>
    <w:rsid w:val="0A1F011A"/>
    <w:rsid w:val="0A5F512C"/>
    <w:rsid w:val="0A6EDE40"/>
    <w:rsid w:val="0AC06E7A"/>
    <w:rsid w:val="0B167F3A"/>
    <w:rsid w:val="0B2B8F17"/>
    <w:rsid w:val="0B87E7BF"/>
    <w:rsid w:val="0C22B16A"/>
    <w:rsid w:val="0C43D564"/>
    <w:rsid w:val="0C79D84E"/>
    <w:rsid w:val="0D6ACAFB"/>
    <w:rsid w:val="0DAE9D22"/>
    <w:rsid w:val="0DE38E3B"/>
    <w:rsid w:val="0EA5F7B3"/>
    <w:rsid w:val="0EC8EC47"/>
    <w:rsid w:val="0F2EF054"/>
    <w:rsid w:val="0F565BDA"/>
    <w:rsid w:val="0F6A5C57"/>
    <w:rsid w:val="0F9A3EDE"/>
    <w:rsid w:val="10303742"/>
    <w:rsid w:val="104E098C"/>
    <w:rsid w:val="10526C79"/>
    <w:rsid w:val="10894360"/>
    <w:rsid w:val="10A4526E"/>
    <w:rsid w:val="10BB6A33"/>
    <w:rsid w:val="10DCF7AB"/>
    <w:rsid w:val="10DE99C6"/>
    <w:rsid w:val="1175DC38"/>
    <w:rsid w:val="11C58125"/>
    <w:rsid w:val="11D8D9FA"/>
    <w:rsid w:val="1277C3DA"/>
    <w:rsid w:val="1318908D"/>
    <w:rsid w:val="133D28C6"/>
    <w:rsid w:val="138A0D3B"/>
    <w:rsid w:val="1426D1DC"/>
    <w:rsid w:val="14BFA13C"/>
    <w:rsid w:val="14C926B6"/>
    <w:rsid w:val="1569A59B"/>
    <w:rsid w:val="15F78C71"/>
    <w:rsid w:val="162863EE"/>
    <w:rsid w:val="165F24BD"/>
    <w:rsid w:val="1664F717"/>
    <w:rsid w:val="1674379D"/>
    <w:rsid w:val="1773AE92"/>
    <w:rsid w:val="17A3FE1A"/>
    <w:rsid w:val="180B81C2"/>
    <w:rsid w:val="18206844"/>
    <w:rsid w:val="182E1DC5"/>
    <w:rsid w:val="185B39B7"/>
    <w:rsid w:val="18A21091"/>
    <w:rsid w:val="18CF0A97"/>
    <w:rsid w:val="18EA3141"/>
    <w:rsid w:val="199D0F14"/>
    <w:rsid w:val="1A905ACC"/>
    <w:rsid w:val="1AC799DD"/>
    <w:rsid w:val="1B38683A"/>
    <w:rsid w:val="1B4055C0"/>
    <w:rsid w:val="1B995E22"/>
    <w:rsid w:val="1C191151"/>
    <w:rsid w:val="1C7BF0FB"/>
    <w:rsid w:val="1CC85001"/>
    <w:rsid w:val="1CE70064"/>
    <w:rsid w:val="1CECC005"/>
    <w:rsid w:val="1D75E575"/>
    <w:rsid w:val="1DA45BE2"/>
    <w:rsid w:val="1E0E87D0"/>
    <w:rsid w:val="1E7008FC"/>
    <w:rsid w:val="1E77F682"/>
    <w:rsid w:val="1E85350E"/>
    <w:rsid w:val="1E8834E0"/>
    <w:rsid w:val="1EEAA51F"/>
    <w:rsid w:val="1F512E87"/>
    <w:rsid w:val="1FDB7F50"/>
    <w:rsid w:val="1FDFD155"/>
    <w:rsid w:val="1FFAF0F5"/>
    <w:rsid w:val="2013C6E3"/>
    <w:rsid w:val="204BD07E"/>
    <w:rsid w:val="20D7201D"/>
    <w:rsid w:val="20F0D0F2"/>
    <w:rsid w:val="20F8328B"/>
    <w:rsid w:val="210D4276"/>
    <w:rsid w:val="21258929"/>
    <w:rsid w:val="213639C1"/>
    <w:rsid w:val="21524EF4"/>
    <w:rsid w:val="21673B77"/>
    <w:rsid w:val="217BC264"/>
    <w:rsid w:val="21BA8AC0"/>
    <w:rsid w:val="21E1236F"/>
    <w:rsid w:val="2241BBD3"/>
    <w:rsid w:val="224C227B"/>
    <w:rsid w:val="224E4EC6"/>
    <w:rsid w:val="22D2B65A"/>
    <w:rsid w:val="22D7DF64"/>
    <w:rsid w:val="22F2FC0B"/>
    <w:rsid w:val="23059426"/>
    <w:rsid w:val="23845728"/>
    <w:rsid w:val="23D9D832"/>
    <w:rsid w:val="24EBCB72"/>
    <w:rsid w:val="25048D7F"/>
    <w:rsid w:val="250CF20E"/>
    <w:rsid w:val="2609AAE4"/>
    <w:rsid w:val="267A8DD7"/>
    <w:rsid w:val="26BA5210"/>
    <w:rsid w:val="26E82D9E"/>
    <w:rsid w:val="27501DF0"/>
    <w:rsid w:val="27608E7E"/>
    <w:rsid w:val="27C984D3"/>
    <w:rsid w:val="27F2EB1C"/>
    <w:rsid w:val="281ED8C8"/>
    <w:rsid w:val="2911E30B"/>
    <w:rsid w:val="2943F3C5"/>
    <w:rsid w:val="29881DBD"/>
    <w:rsid w:val="29E236D1"/>
    <w:rsid w:val="29F88E74"/>
    <w:rsid w:val="2A6E9655"/>
    <w:rsid w:val="2BD1809A"/>
    <w:rsid w:val="2BEF254C"/>
    <w:rsid w:val="2BFB90D7"/>
    <w:rsid w:val="2C0091CA"/>
    <w:rsid w:val="2C5EA91A"/>
    <w:rsid w:val="2C824618"/>
    <w:rsid w:val="2CBC56CB"/>
    <w:rsid w:val="2CEAB16B"/>
    <w:rsid w:val="2D43B810"/>
    <w:rsid w:val="2DBF5F74"/>
    <w:rsid w:val="2DD26F68"/>
    <w:rsid w:val="2DFA797B"/>
    <w:rsid w:val="2E2C9920"/>
    <w:rsid w:val="2E490319"/>
    <w:rsid w:val="2E7C5167"/>
    <w:rsid w:val="2E8C85EC"/>
    <w:rsid w:val="2F1D7698"/>
    <w:rsid w:val="2F258392"/>
    <w:rsid w:val="2F613E97"/>
    <w:rsid w:val="2F6BD36F"/>
    <w:rsid w:val="2FD0B762"/>
    <w:rsid w:val="30DDD7D9"/>
    <w:rsid w:val="30F70036"/>
    <w:rsid w:val="30FF24C9"/>
    <w:rsid w:val="31321A3D"/>
    <w:rsid w:val="3155B73B"/>
    <w:rsid w:val="31C5BB0E"/>
    <w:rsid w:val="31D1A2DF"/>
    <w:rsid w:val="322799C1"/>
    <w:rsid w:val="32C2DDE6"/>
    <w:rsid w:val="3311C28F"/>
    <w:rsid w:val="33238423"/>
    <w:rsid w:val="335761D6"/>
    <w:rsid w:val="335ACCD9"/>
    <w:rsid w:val="337CAF02"/>
    <w:rsid w:val="33C2C882"/>
    <w:rsid w:val="33E8C34A"/>
    <w:rsid w:val="342AB0BD"/>
    <w:rsid w:val="34D8D975"/>
    <w:rsid w:val="34F69D3A"/>
    <w:rsid w:val="3532EEEE"/>
    <w:rsid w:val="3599B531"/>
    <w:rsid w:val="359F08AA"/>
    <w:rsid w:val="35CE0EBE"/>
    <w:rsid w:val="362762F1"/>
    <w:rsid w:val="364FDB4A"/>
    <w:rsid w:val="36526E11"/>
    <w:rsid w:val="367E02DF"/>
    <w:rsid w:val="368BEBA5"/>
    <w:rsid w:val="36C06097"/>
    <w:rsid w:val="36F1FC52"/>
    <w:rsid w:val="3746A908"/>
    <w:rsid w:val="377335F5"/>
    <w:rsid w:val="37E2AE45"/>
    <w:rsid w:val="37EBABAB"/>
    <w:rsid w:val="37F6C33E"/>
    <w:rsid w:val="38327E8B"/>
    <w:rsid w:val="3868FC19"/>
    <w:rsid w:val="38F9C318"/>
    <w:rsid w:val="39159077"/>
    <w:rsid w:val="39463499"/>
    <w:rsid w:val="3972AA6E"/>
    <w:rsid w:val="3997BEA8"/>
    <w:rsid w:val="3A002BDD"/>
    <w:rsid w:val="3A48E787"/>
    <w:rsid w:val="3ABD8C7D"/>
    <w:rsid w:val="3BAA9E71"/>
    <w:rsid w:val="3BE702C4"/>
    <w:rsid w:val="3C05D395"/>
    <w:rsid w:val="3C13425C"/>
    <w:rsid w:val="3C2F9440"/>
    <w:rsid w:val="3C3715FF"/>
    <w:rsid w:val="3C43DD28"/>
    <w:rsid w:val="3C509D3A"/>
    <w:rsid w:val="3C571EAE"/>
    <w:rsid w:val="3C8DC42C"/>
    <w:rsid w:val="3CE4B6DF"/>
    <w:rsid w:val="3CF8ADA4"/>
    <w:rsid w:val="3D32D6B3"/>
    <w:rsid w:val="3D7E7AFD"/>
    <w:rsid w:val="3DC37F3B"/>
    <w:rsid w:val="3DD89CBE"/>
    <w:rsid w:val="3DDFC9F9"/>
    <w:rsid w:val="3E1F59FF"/>
    <w:rsid w:val="3EF7F4B9"/>
    <w:rsid w:val="3F31D9B9"/>
    <w:rsid w:val="3F44B5A0"/>
    <w:rsid w:val="3F547D65"/>
    <w:rsid w:val="40A9DAB0"/>
    <w:rsid w:val="40FE724E"/>
    <w:rsid w:val="410180B0"/>
    <w:rsid w:val="411AD2A6"/>
    <w:rsid w:val="41322ED3"/>
    <w:rsid w:val="414A4DE1"/>
    <w:rsid w:val="41D9CA43"/>
    <w:rsid w:val="41F716BE"/>
    <w:rsid w:val="420B09EF"/>
    <w:rsid w:val="4211FB6C"/>
    <w:rsid w:val="423D1BEB"/>
    <w:rsid w:val="42B096BA"/>
    <w:rsid w:val="42CDFF34"/>
    <w:rsid w:val="43887805"/>
    <w:rsid w:val="43B70EE2"/>
    <w:rsid w:val="442D58D2"/>
    <w:rsid w:val="444DB8FF"/>
    <w:rsid w:val="44822431"/>
    <w:rsid w:val="448632EF"/>
    <w:rsid w:val="4495D858"/>
    <w:rsid w:val="44DF8568"/>
    <w:rsid w:val="44E836A7"/>
    <w:rsid w:val="452A4E7B"/>
    <w:rsid w:val="4558E7E5"/>
    <w:rsid w:val="4563B78A"/>
    <w:rsid w:val="45792DBB"/>
    <w:rsid w:val="461E8A6E"/>
    <w:rsid w:val="46323E52"/>
    <w:rsid w:val="46726638"/>
    <w:rsid w:val="467F5D21"/>
    <w:rsid w:val="468184D7"/>
    <w:rsid w:val="46E12EE2"/>
    <w:rsid w:val="473C688C"/>
    <w:rsid w:val="4770C234"/>
    <w:rsid w:val="47C7CFDC"/>
    <w:rsid w:val="47CC723A"/>
    <w:rsid w:val="48A07883"/>
    <w:rsid w:val="48B5B71F"/>
    <w:rsid w:val="48C8DD2A"/>
    <w:rsid w:val="48DEFCD2"/>
    <w:rsid w:val="48F04D46"/>
    <w:rsid w:val="491DCA02"/>
    <w:rsid w:val="493BED2E"/>
    <w:rsid w:val="499E94DD"/>
    <w:rsid w:val="49C767CC"/>
    <w:rsid w:val="4A3604C1"/>
    <w:rsid w:val="4A3A1F26"/>
    <w:rsid w:val="4A80D1B6"/>
    <w:rsid w:val="4AD91119"/>
    <w:rsid w:val="4AE6936E"/>
    <w:rsid w:val="4B018274"/>
    <w:rsid w:val="4B17EA2E"/>
    <w:rsid w:val="4BBAA16C"/>
    <w:rsid w:val="4BE94EB6"/>
    <w:rsid w:val="4CAF57F5"/>
    <w:rsid w:val="4CF5886C"/>
    <w:rsid w:val="4D1D2919"/>
    <w:rsid w:val="4EA64A8D"/>
    <w:rsid w:val="4F03CFD4"/>
    <w:rsid w:val="4F703B2C"/>
    <w:rsid w:val="4F903D53"/>
    <w:rsid w:val="4F964F37"/>
    <w:rsid w:val="50693FD4"/>
    <w:rsid w:val="5096658F"/>
    <w:rsid w:val="50A86FE9"/>
    <w:rsid w:val="50F9919D"/>
    <w:rsid w:val="512DD6B6"/>
    <w:rsid w:val="5139621D"/>
    <w:rsid w:val="5148529D"/>
    <w:rsid w:val="51700406"/>
    <w:rsid w:val="523235F0"/>
    <w:rsid w:val="531BDE92"/>
    <w:rsid w:val="536CDEA0"/>
    <w:rsid w:val="53F3FA5D"/>
    <w:rsid w:val="5487E0E5"/>
    <w:rsid w:val="54EC47E0"/>
    <w:rsid w:val="556A8DBF"/>
    <w:rsid w:val="55EAC312"/>
    <w:rsid w:val="5615E436"/>
    <w:rsid w:val="56AAE302"/>
    <w:rsid w:val="56AD0697"/>
    <w:rsid w:val="56DED890"/>
    <w:rsid w:val="5755E5C8"/>
    <w:rsid w:val="57CAADFD"/>
    <w:rsid w:val="5863722D"/>
    <w:rsid w:val="589489D3"/>
    <w:rsid w:val="595B5208"/>
    <w:rsid w:val="59DE9924"/>
    <w:rsid w:val="59F7B96E"/>
    <w:rsid w:val="59FD2B5F"/>
    <w:rsid w:val="5B4CF201"/>
    <w:rsid w:val="5B6A49BA"/>
    <w:rsid w:val="5B770667"/>
    <w:rsid w:val="5B9389CF"/>
    <w:rsid w:val="5BBE3B3C"/>
    <w:rsid w:val="5BFBD330"/>
    <w:rsid w:val="5C16F455"/>
    <w:rsid w:val="5C1CFEED"/>
    <w:rsid w:val="5C58D1A0"/>
    <w:rsid w:val="5CB360FC"/>
    <w:rsid w:val="5D845E42"/>
    <w:rsid w:val="5D8B4FE6"/>
    <w:rsid w:val="5D9D84C5"/>
    <w:rsid w:val="5DA089F5"/>
    <w:rsid w:val="5E7A01C9"/>
    <w:rsid w:val="5E926C23"/>
    <w:rsid w:val="5ED934DE"/>
    <w:rsid w:val="5EF5D246"/>
    <w:rsid w:val="5F4322FA"/>
    <w:rsid w:val="5FDF8FA1"/>
    <w:rsid w:val="600035AA"/>
    <w:rsid w:val="60234FED"/>
    <w:rsid w:val="6085BAD6"/>
    <w:rsid w:val="616663ED"/>
    <w:rsid w:val="616CFF73"/>
    <w:rsid w:val="61F95897"/>
    <w:rsid w:val="6202CB53"/>
    <w:rsid w:val="6226E72F"/>
    <w:rsid w:val="622BCA7D"/>
    <w:rsid w:val="629E1BB6"/>
    <w:rsid w:val="634C8D3B"/>
    <w:rsid w:val="63A8665A"/>
    <w:rsid w:val="63D9B5BB"/>
    <w:rsid w:val="63FEA0A1"/>
    <w:rsid w:val="6400EA21"/>
    <w:rsid w:val="6429E22B"/>
    <w:rsid w:val="643ACB20"/>
    <w:rsid w:val="6499E697"/>
    <w:rsid w:val="64FE997D"/>
    <w:rsid w:val="651D94EF"/>
    <w:rsid w:val="6534D746"/>
    <w:rsid w:val="653A6C15"/>
    <w:rsid w:val="657956AC"/>
    <w:rsid w:val="65B83FC4"/>
    <w:rsid w:val="65C1BF69"/>
    <w:rsid w:val="65FBFC35"/>
    <w:rsid w:val="661144F1"/>
    <w:rsid w:val="6620ACB3"/>
    <w:rsid w:val="6644ADD5"/>
    <w:rsid w:val="666B05A0"/>
    <w:rsid w:val="67311383"/>
    <w:rsid w:val="6731CFB6"/>
    <w:rsid w:val="675F9DB8"/>
    <w:rsid w:val="676E46D9"/>
    <w:rsid w:val="67BC7D14"/>
    <w:rsid w:val="67C63F38"/>
    <w:rsid w:val="67E8E207"/>
    <w:rsid w:val="6838851B"/>
    <w:rsid w:val="69007FD7"/>
    <w:rsid w:val="691BB6B8"/>
    <w:rsid w:val="694CAF80"/>
    <w:rsid w:val="69592778"/>
    <w:rsid w:val="69A2A662"/>
    <w:rsid w:val="69FE9A9F"/>
    <w:rsid w:val="69FEF51E"/>
    <w:rsid w:val="6A0AD47D"/>
    <w:rsid w:val="6A311D39"/>
    <w:rsid w:val="6A4EA81C"/>
    <w:rsid w:val="6A5B0BB1"/>
    <w:rsid w:val="6AFDA006"/>
    <w:rsid w:val="6B3C92B9"/>
    <w:rsid w:val="6B510E32"/>
    <w:rsid w:val="6B56FD80"/>
    <w:rsid w:val="6B7025DD"/>
    <w:rsid w:val="6B9EB5BB"/>
    <w:rsid w:val="6BAB8883"/>
    <w:rsid w:val="6C99C14F"/>
    <w:rsid w:val="6CABDB71"/>
    <w:rsid w:val="6D61BFD7"/>
    <w:rsid w:val="6D676FA4"/>
    <w:rsid w:val="6D6792F6"/>
    <w:rsid w:val="6D6A17CF"/>
    <w:rsid w:val="6DCAE7EB"/>
    <w:rsid w:val="6E641B57"/>
    <w:rsid w:val="6EB800EE"/>
    <w:rsid w:val="6EB84C45"/>
    <w:rsid w:val="6ECFD675"/>
    <w:rsid w:val="6EFD9038"/>
    <w:rsid w:val="6F8B9983"/>
    <w:rsid w:val="6FD0B58E"/>
    <w:rsid w:val="6FDAFA5E"/>
    <w:rsid w:val="70CE9A8D"/>
    <w:rsid w:val="70E49813"/>
    <w:rsid w:val="70F63D9B"/>
    <w:rsid w:val="7105CD70"/>
    <w:rsid w:val="719C660F"/>
    <w:rsid w:val="71B7F92F"/>
    <w:rsid w:val="71E6A365"/>
    <w:rsid w:val="724DCF02"/>
    <w:rsid w:val="72715A9B"/>
    <w:rsid w:val="72800699"/>
    <w:rsid w:val="72D0389F"/>
    <w:rsid w:val="72DDB367"/>
    <w:rsid w:val="72FB0B20"/>
    <w:rsid w:val="7334E996"/>
    <w:rsid w:val="73632AEA"/>
    <w:rsid w:val="73DCB867"/>
    <w:rsid w:val="74EAF4F4"/>
    <w:rsid w:val="75522C52"/>
    <w:rsid w:val="757B2F81"/>
    <w:rsid w:val="75866E3C"/>
    <w:rsid w:val="75C65F06"/>
    <w:rsid w:val="75D91BFC"/>
    <w:rsid w:val="76277BAC"/>
    <w:rsid w:val="7655B4A4"/>
    <w:rsid w:val="767F6CD9"/>
    <w:rsid w:val="7682ABF1"/>
    <w:rsid w:val="76A249E5"/>
    <w:rsid w:val="7771F331"/>
    <w:rsid w:val="77C9961F"/>
    <w:rsid w:val="7895B5AE"/>
    <w:rsid w:val="78C384CC"/>
    <w:rsid w:val="78DD0982"/>
    <w:rsid w:val="7993D95E"/>
    <w:rsid w:val="79A22008"/>
    <w:rsid w:val="79C3423F"/>
    <w:rsid w:val="7A071BC1"/>
    <w:rsid w:val="7A34BFBE"/>
    <w:rsid w:val="7A4C0D9D"/>
    <w:rsid w:val="7A73898C"/>
    <w:rsid w:val="7A95AB41"/>
    <w:rsid w:val="7AC301C3"/>
    <w:rsid w:val="7BC7D95E"/>
    <w:rsid w:val="7C1A7E54"/>
    <w:rsid w:val="7C88B77B"/>
    <w:rsid w:val="7CBAC22B"/>
    <w:rsid w:val="7CD99A07"/>
    <w:rsid w:val="7CEAF55B"/>
    <w:rsid w:val="7CFC26B4"/>
    <w:rsid w:val="7D05FC3A"/>
    <w:rsid w:val="7D26BE03"/>
    <w:rsid w:val="7D430604"/>
    <w:rsid w:val="7D5280CF"/>
    <w:rsid w:val="7DBDE599"/>
    <w:rsid w:val="7E53C872"/>
    <w:rsid w:val="7E53E92F"/>
    <w:rsid w:val="7E598EFC"/>
    <w:rsid w:val="7ED7616F"/>
    <w:rsid w:val="7F22E4F6"/>
    <w:rsid w:val="7F2E6C30"/>
    <w:rsid w:val="7F760EBB"/>
    <w:rsid w:val="7F799A5C"/>
    <w:rsid w:val="7F7F5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0CA23"/>
  <w15:chartTrackingRefBased/>
  <w15:docId w15:val="{7AD4535E-2D01-414D-9DAB-A052A1A0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C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6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CD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6CD8"/>
    <w:pPr>
      <w:outlineLvl w:val="9"/>
    </w:pPr>
  </w:style>
  <w:style w:type="paragraph" w:styleId="ListParagraph">
    <w:name w:val="List Paragraph"/>
    <w:basedOn w:val="Normal"/>
    <w:uiPriority w:val="34"/>
    <w:qFormat/>
    <w:rsid w:val="00FF6CD8"/>
    <w:pPr>
      <w:ind w:left="720"/>
      <w:contextualSpacing/>
    </w:pPr>
  </w:style>
  <w:style w:type="character" w:customStyle="1" w:styleId="Heading2Char">
    <w:name w:val="Heading 2 Char"/>
    <w:basedOn w:val="DefaultParagraphFont"/>
    <w:link w:val="Heading2"/>
    <w:uiPriority w:val="9"/>
    <w:rsid w:val="00FF6CD8"/>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143950"/>
    <w:pPr>
      <w:spacing w:after="100"/>
    </w:pPr>
  </w:style>
  <w:style w:type="paragraph" w:styleId="TOC2">
    <w:name w:val="toc 2"/>
    <w:basedOn w:val="Normal"/>
    <w:next w:val="Normal"/>
    <w:autoRedefine/>
    <w:uiPriority w:val="39"/>
    <w:unhideWhenUsed/>
    <w:rsid w:val="00143950"/>
    <w:pPr>
      <w:spacing w:after="100"/>
      <w:ind w:left="220"/>
    </w:pPr>
  </w:style>
  <w:style w:type="character" w:styleId="Hyperlink">
    <w:name w:val="Hyperlink"/>
    <w:basedOn w:val="DefaultParagraphFont"/>
    <w:uiPriority w:val="99"/>
    <w:unhideWhenUsed/>
    <w:rsid w:val="00143950"/>
    <w:rPr>
      <w:color w:val="0563C1" w:themeColor="hyperlink"/>
      <w:u w:val="single"/>
    </w:rPr>
  </w:style>
  <w:style w:type="paragraph" w:styleId="Header">
    <w:name w:val="header"/>
    <w:basedOn w:val="Normal"/>
    <w:link w:val="HeaderChar"/>
    <w:uiPriority w:val="99"/>
    <w:unhideWhenUsed/>
    <w:rsid w:val="009D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58"/>
  </w:style>
  <w:style w:type="paragraph" w:styleId="Footer">
    <w:name w:val="footer"/>
    <w:basedOn w:val="Normal"/>
    <w:link w:val="FooterChar"/>
    <w:uiPriority w:val="99"/>
    <w:unhideWhenUsed/>
    <w:rsid w:val="009D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58"/>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14a325b-ec4f-482e-8797-077c7240d5ba">QSWQUJY2CWF7-700940487-3195</_dlc_DocId>
    <_dlc_DocIdUrl xmlns="014a325b-ec4f-482e-8797-077c7240d5ba">
      <Url>https://icrmboard.sharepoint.com/sites/BOR/_layouts/15/DocIdRedir.aspx?ID=QSWQUJY2CWF7-700940487-3195</Url>
      <Description>QSWQUJY2CWF7-700940487-3195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15DB675CE5C64498C1138BB58B5E113" ma:contentTypeVersion="14" ma:contentTypeDescription="Create a new document." ma:contentTypeScope="" ma:versionID="11a2c53bb4ef846348df1fa5ac22dc81">
  <xsd:schema xmlns:xsd="http://www.w3.org/2001/XMLSchema" xmlns:xs="http://www.w3.org/2001/XMLSchema" xmlns:p="http://schemas.microsoft.com/office/2006/metadata/properties" xmlns:ns2="014a325b-ec4f-482e-8797-077c7240d5ba" xmlns:ns3="e26c04c8-0f99-4e05-9c56-a5cb69dae742" targetNamespace="http://schemas.microsoft.com/office/2006/metadata/properties" ma:root="true" ma:fieldsID="de23665b7bc030201532e2793133904e" ns2:_="" ns3:_="">
    <xsd:import namespace="014a325b-ec4f-482e-8797-077c7240d5ba"/>
    <xsd:import namespace="e26c04c8-0f99-4e05-9c56-a5cb69dae74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a325b-ec4f-482e-8797-077c7240d5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6c04c8-0f99-4e05-9c56-a5cb69dae74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A012B-EB03-4156-9206-3BB9109DFB14}">
  <ds:schemaRefs>
    <ds:schemaRef ds:uri="http://schemas.openxmlformats.org/officeDocument/2006/bibliography"/>
  </ds:schemaRefs>
</ds:datastoreItem>
</file>

<file path=customXml/itemProps2.xml><?xml version="1.0" encoding="utf-8"?>
<ds:datastoreItem xmlns:ds="http://schemas.openxmlformats.org/officeDocument/2006/customXml" ds:itemID="{0A81EBF4-D23D-4CAF-9D78-22AACCDA54E2}">
  <ds:schemaRefs>
    <ds:schemaRef ds:uri="http://schemas.microsoft.com/office/2006/metadata/properties"/>
    <ds:schemaRef ds:uri="http://schemas.microsoft.com/office/infopath/2007/PartnerControls"/>
    <ds:schemaRef ds:uri="014a325b-ec4f-482e-8797-077c7240d5ba"/>
  </ds:schemaRefs>
</ds:datastoreItem>
</file>

<file path=customXml/itemProps3.xml><?xml version="1.0" encoding="utf-8"?>
<ds:datastoreItem xmlns:ds="http://schemas.openxmlformats.org/officeDocument/2006/customXml" ds:itemID="{CD6391D0-B19A-4DFC-A54B-B4F911451E78}">
  <ds:schemaRefs>
    <ds:schemaRef ds:uri="http://schemas.microsoft.com/sharepoint/events"/>
  </ds:schemaRefs>
</ds:datastoreItem>
</file>

<file path=customXml/itemProps4.xml><?xml version="1.0" encoding="utf-8"?>
<ds:datastoreItem xmlns:ds="http://schemas.openxmlformats.org/officeDocument/2006/customXml" ds:itemID="{05000606-3334-49A2-A1B8-0A7B335C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a325b-ec4f-482e-8797-077c7240d5ba"/>
    <ds:schemaRef ds:uri="e26c04c8-0f99-4e05-9c56-a5cb69dae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5469B7-D825-40D2-BC98-84412EBD9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Dederer</dc:creator>
  <cp:keywords/>
  <dc:description/>
  <cp:lastModifiedBy>Laplant, Sharon (525)</cp:lastModifiedBy>
  <cp:revision>2</cp:revision>
  <cp:lastPrinted>2021-07-30T17:42:00Z</cp:lastPrinted>
  <dcterms:created xsi:type="dcterms:W3CDTF">2021-10-28T11:37:00Z</dcterms:created>
  <dcterms:modified xsi:type="dcterms:W3CDTF">2021-10-28T11:37:00Z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0x010100015DB675CE5C64498C1138BB58B5E113</vt:lpwstr>
  </property>
  <property fmtid="{D5CDD505-2E9C-101B-9397-08002B2CF9AE}" pid="3" name="_dlc_DocIdItemGuid">
    <vt:lpwstr>ea64e587-2e99-469c-be3f-87638699b4eb</vt:lpwstr>
  </property>
</Properties>
</file>